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6885" w14:textId="724F6304" w:rsidR="006555DE" w:rsidRPr="00A818C0" w:rsidRDefault="00A818C0" w:rsidP="00A818C0">
      <w:pPr>
        <w:pStyle w:val="Titlecover"/>
        <w:rPr>
          <w:rFonts w:eastAsia="Batang"/>
        </w:rPr>
      </w:pPr>
      <w:bookmarkStart w:id="0" w:name="_Toc148265059"/>
      <w:bookmarkStart w:id="1" w:name="_Toc362608057"/>
      <w:bookmarkStart w:id="2" w:name="_Toc362608092"/>
      <w:bookmarkStart w:id="3" w:name="_Toc174632369"/>
      <w:r w:rsidRPr="00A818C0">
        <w:t>Takeovers</w:t>
      </w:r>
      <w:bookmarkStart w:id="4" w:name="_Toc148265060"/>
      <w:bookmarkEnd w:id="0"/>
      <w:r w:rsidRPr="00A818C0">
        <w:t xml:space="preserve"> Panel</w:t>
      </w:r>
      <w:bookmarkEnd w:id="1"/>
      <w:bookmarkEnd w:id="2"/>
      <w:bookmarkEnd w:id="3"/>
      <w:bookmarkEnd w:id="4"/>
    </w:p>
    <w:p w14:paraId="571C6887" w14:textId="60D8B0EC" w:rsidR="006555DE" w:rsidRPr="00903246" w:rsidRDefault="00F438DF" w:rsidP="00903246">
      <w:pPr>
        <w:pStyle w:val="SubtitleCover"/>
      </w:pPr>
      <w:bookmarkStart w:id="5" w:name="_Toc148265061"/>
      <w:bookmarkStart w:id="6" w:name="_Toc362608058"/>
      <w:bookmarkStart w:id="7" w:name="_Toc362608093"/>
      <w:bookmarkStart w:id="8" w:name="_Toc143339720"/>
      <w:bookmarkStart w:id="9" w:name="_Toc143340057"/>
      <w:bookmarkStart w:id="10" w:name="_Toc143340288"/>
      <w:bookmarkStart w:id="11" w:name="_Toc143420171"/>
      <w:bookmarkStart w:id="12" w:name="_Toc174632370"/>
      <w:r w:rsidRPr="00903246">
        <w:t xml:space="preserve">Annual </w:t>
      </w:r>
      <w:r w:rsidR="00A818C0">
        <w:t>R</w:t>
      </w:r>
      <w:r w:rsidRPr="00903246">
        <w:t>eport</w:t>
      </w:r>
      <w:bookmarkStart w:id="13" w:name="_Toc148265062"/>
      <w:bookmarkStart w:id="14" w:name="_Toc362608059"/>
      <w:bookmarkStart w:id="15" w:name="_Toc362608094"/>
      <w:bookmarkEnd w:id="5"/>
      <w:bookmarkEnd w:id="6"/>
      <w:bookmarkEnd w:id="7"/>
      <w:r w:rsidRPr="00903246">
        <w:t xml:space="preserve"> 20</w:t>
      </w:r>
      <w:bookmarkEnd w:id="8"/>
      <w:bookmarkEnd w:id="9"/>
      <w:bookmarkEnd w:id="10"/>
      <w:bookmarkEnd w:id="11"/>
      <w:bookmarkEnd w:id="13"/>
      <w:r w:rsidRPr="00903246">
        <w:t>2</w:t>
      </w:r>
      <w:bookmarkEnd w:id="14"/>
      <w:bookmarkEnd w:id="15"/>
      <w:r w:rsidR="00512EC1">
        <w:t>3</w:t>
      </w:r>
      <w:r w:rsidR="009F463C" w:rsidRPr="00903246">
        <w:t>–</w:t>
      </w:r>
      <w:r w:rsidR="00512EC1">
        <w:t>24</w:t>
      </w:r>
      <w:bookmarkEnd w:id="12"/>
    </w:p>
    <w:p w14:paraId="7B883E1C" w14:textId="77777777" w:rsidR="006555DE" w:rsidRDefault="006555DE"/>
    <w:p w14:paraId="571C6888" w14:textId="0964CFE5" w:rsidR="00174AF6" w:rsidRDefault="00174AF6">
      <w:pPr>
        <w:sectPr w:rsidR="00174AF6" w:rsidSect="0005352A">
          <w:headerReference w:type="even" r:id="rId7"/>
          <w:footerReference w:type="default" r:id="rId8"/>
          <w:headerReference w:type="first" r:id="rId9"/>
          <w:footerReference w:type="first" r:id="rId10"/>
          <w:pgSz w:w="11907" w:h="16840" w:code="9"/>
          <w:pgMar w:top="2466" w:right="2098" w:bottom="2466" w:left="2098" w:header="1899" w:footer="1899" w:gutter="0"/>
          <w:pgBorders w:offsetFrom="page">
            <w:bottom w:val="single" w:sz="2" w:space="24" w:color="1F497D" w:themeColor="text2"/>
          </w:pgBorders>
          <w:pgNumType w:fmt="lowerRoman" w:start="1"/>
          <w:cols w:space="720"/>
          <w:vAlign w:val="center"/>
          <w:titlePg/>
          <w:docGrid w:linePitch="286"/>
        </w:sectPr>
      </w:pPr>
    </w:p>
    <w:p w14:paraId="571C6889" w14:textId="352DF45C" w:rsidR="006555DE" w:rsidRPr="005E3234" w:rsidRDefault="006555DE" w:rsidP="009A4D32">
      <w:pPr>
        <w:spacing w:after="220"/>
      </w:pPr>
      <w:r w:rsidRPr="005E3234">
        <w:lastRenderedPageBreak/>
        <w:t>© Commonwealth of Australia 20</w:t>
      </w:r>
      <w:r w:rsidR="0042256C" w:rsidRPr="005E3234">
        <w:t>2</w:t>
      </w:r>
      <w:r w:rsidR="0007235A">
        <w:t>4</w:t>
      </w:r>
    </w:p>
    <w:p w14:paraId="571C688A" w14:textId="18453DD8" w:rsidR="00862ED0" w:rsidRPr="005E3234" w:rsidRDefault="00862ED0" w:rsidP="009A4D32">
      <w:pPr>
        <w:spacing w:after="220"/>
      </w:pPr>
      <w:r w:rsidRPr="005E3234">
        <w:t>IS</w:t>
      </w:r>
      <w:r w:rsidR="00215EE5" w:rsidRPr="005E3234">
        <w:t>S</w:t>
      </w:r>
      <w:r w:rsidRPr="005E3234">
        <w:t xml:space="preserve">N </w:t>
      </w:r>
      <w:r w:rsidR="00215EE5" w:rsidRPr="005E3234">
        <w:t>2204</w:t>
      </w:r>
      <w:r w:rsidR="008941F8">
        <w:noBreakHyphen/>
      </w:r>
      <w:r w:rsidR="00215EE5" w:rsidRPr="005E3234">
        <w:t>0854 (Print)</w:t>
      </w:r>
      <w:r w:rsidR="00215EE5" w:rsidRPr="005E3234">
        <w:br/>
        <w:t>ISSN 2204</w:t>
      </w:r>
      <w:r w:rsidR="008941F8">
        <w:noBreakHyphen/>
      </w:r>
      <w:r w:rsidR="00215EE5" w:rsidRPr="005E3234">
        <w:t>0862 (Online)</w:t>
      </w:r>
    </w:p>
    <w:p w14:paraId="5DA7BE87" w14:textId="3D511F81" w:rsidR="00DA71FC" w:rsidRPr="00DA71FC" w:rsidRDefault="00DA71FC" w:rsidP="00DA71FC">
      <w:r w:rsidRPr="00DA71FC">
        <w:t xml:space="preserve">This publication is available for your use under a Creative Commons Attribution 4.0 International licence, with the exception of the Commonwealth Coat of Arms, the </w:t>
      </w:r>
      <w:r w:rsidR="007B05E1">
        <w:t>Takeovers Panel</w:t>
      </w:r>
      <w:r w:rsidRPr="00DA71FC">
        <w:t xml:space="preserve"> logo, photographs, images, third party materials, materials protected by a trademark, signatures and where otherwise stated. The full licence terms are available from </w:t>
      </w:r>
      <w:r w:rsidRPr="00F47659">
        <w:rPr>
          <w:rStyle w:val="Hyperlink"/>
        </w:rPr>
        <w:t>creativecommons.org/licenses/by/4.0/legalcode</w:t>
      </w:r>
      <w:r w:rsidRPr="00DA71FC">
        <w:t>.</w:t>
      </w:r>
    </w:p>
    <w:p w14:paraId="78E3FAD0" w14:textId="77777777" w:rsidR="00DA71FC" w:rsidRPr="005E3234" w:rsidRDefault="00DA71FC" w:rsidP="00DA71FC">
      <w:pPr>
        <w:autoSpaceDE w:val="0"/>
        <w:autoSpaceDN w:val="0"/>
        <w:adjustRightInd w:val="0"/>
        <w:spacing w:before="240" w:line="240" w:lineRule="auto"/>
      </w:pPr>
      <w:r w:rsidRPr="005E3234">
        <w:rPr>
          <w:noProof/>
          <w:lang w:eastAsia="en-AU"/>
        </w:rPr>
        <w:drawing>
          <wp:inline distT="0" distB="0" distL="0" distR="0" wp14:anchorId="480F66A0" wp14:editId="11E0D65A">
            <wp:extent cx="809625" cy="285750"/>
            <wp:effectExtent l="19050" t="0" r="9525" b="0"/>
            <wp:docPr id="38432489" name="Picture 38432489"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1D19A05" w14:textId="04D10B79" w:rsidR="00DA71FC" w:rsidRPr="00DA71FC" w:rsidRDefault="00DA71FC" w:rsidP="00DA71FC">
      <w:r w:rsidRPr="00DA71FC">
        <w:t xml:space="preserve">Use of </w:t>
      </w:r>
      <w:r w:rsidR="007B05E1">
        <w:t>Takeovers Panel</w:t>
      </w:r>
      <w:r w:rsidRPr="00DA71FC">
        <w:t xml:space="preserve"> material under a Creative Commons Attribution 4.0 International licence requires you to attribute the work (but not in any way that suggests that the Treasury endorses you or your use of the work). </w:t>
      </w:r>
    </w:p>
    <w:p w14:paraId="610E53C2" w14:textId="055D7A6A" w:rsidR="00DA71FC" w:rsidRPr="00DA71FC" w:rsidRDefault="007B05E1" w:rsidP="00DA71FC">
      <w:pPr>
        <w:autoSpaceDE w:val="0"/>
        <w:autoSpaceDN w:val="0"/>
        <w:adjustRightInd w:val="0"/>
        <w:spacing w:after="120" w:line="240" w:lineRule="auto"/>
        <w:rPr>
          <w:b/>
        </w:rPr>
      </w:pPr>
      <w:r>
        <w:rPr>
          <w:b/>
        </w:rPr>
        <w:t>Takeovers Panel</w:t>
      </w:r>
      <w:r w:rsidR="00DA71FC" w:rsidRPr="00DA71FC">
        <w:rPr>
          <w:b/>
        </w:rPr>
        <w:t xml:space="preserve"> material used 'as supplied'</w:t>
      </w:r>
    </w:p>
    <w:p w14:paraId="7DB01E2E" w14:textId="089A45E6" w:rsidR="00DA71FC" w:rsidRPr="00DA71FC" w:rsidRDefault="00DA71FC" w:rsidP="00F47659">
      <w:pPr>
        <w:spacing w:after="120"/>
      </w:pPr>
      <w:r w:rsidRPr="00DA71FC">
        <w:t xml:space="preserve">Provided you have not modified or transformed </w:t>
      </w:r>
      <w:r w:rsidR="007B05E1">
        <w:t>Takeovers Panel</w:t>
      </w:r>
      <w:r w:rsidRPr="00DA71FC">
        <w:t xml:space="preserve"> material in any way including, for example, by changing the </w:t>
      </w:r>
      <w:r w:rsidR="007B05E1">
        <w:t>Takeovers Panel</w:t>
      </w:r>
      <w:r w:rsidRPr="00DA71FC">
        <w:t xml:space="preserve"> text; calculating percentage changes; graphing or charting data; or deriving new statistics from published </w:t>
      </w:r>
      <w:r w:rsidR="00F70EA4">
        <w:t>Takeovers Panel</w:t>
      </w:r>
      <w:r w:rsidRPr="00DA71FC">
        <w:t xml:space="preserve"> statistics – then </w:t>
      </w:r>
      <w:r w:rsidR="00F70EA4">
        <w:t>the Takeovers Panel</w:t>
      </w:r>
      <w:r w:rsidRPr="00DA71FC">
        <w:t xml:space="preserve"> prefers the following attribution: </w:t>
      </w:r>
    </w:p>
    <w:p w14:paraId="6882C059" w14:textId="77777777" w:rsidR="00DA71FC" w:rsidRPr="00DA71FC" w:rsidRDefault="00DA71FC" w:rsidP="00F47659">
      <w:pPr>
        <w:ind w:firstLine="907"/>
      </w:pPr>
      <w:r w:rsidRPr="00DA71FC">
        <w:t xml:space="preserve">Source: </w:t>
      </w:r>
      <w:r w:rsidRPr="00F47659">
        <w:rPr>
          <w:rStyle w:val="Emphasis"/>
        </w:rPr>
        <w:t>The Commonwealth of Australia</w:t>
      </w:r>
      <w:r w:rsidRPr="00DA71FC">
        <w:t>.</w:t>
      </w:r>
    </w:p>
    <w:p w14:paraId="7B19F710" w14:textId="77777777" w:rsidR="00DA71FC" w:rsidRPr="00DA71FC" w:rsidRDefault="00DA71FC" w:rsidP="00DA71FC">
      <w:pPr>
        <w:autoSpaceDE w:val="0"/>
        <w:autoSpaceDN w:val="0"/>
        <w:adjustRightInd w:val="0"/>
        <w:spacing w:after="120" w:line="240" w:lineRule="auto"/>
        <w:rPr>
          <w:b/>
        </w:rPr>
      </w:pPr>
      <w:r w:rsidRPr="00DA71FC">
        <w:rPr>
          <w:b/>
        </w:rPr>
        <w:t>Derivative material</w:t>
      </w:r>
    </w:p>
    <w:p w14:paraId="2E280DC2" w14:textId="6E53E291" w:rsidR="00DA71FC" w:rsidRPr="00DA71FC" w:rsidRDefault="00DA71FC" w:rsidP="00F47659">
      <w:pPr>
        <w:spacing w:after="120"/>
      </w:pPr>
      <w:r w:rsidRPr="00DA71FC">
        <w:t xml:space="preserve">If you have modified or transformed </w:t>
      </w:r>
      <w:r w:rsidR="00F70EA4">
        <w:t>Takeovers Panel</w:t>
      </w:r>
      <w:r w:rsidRPr="00DA71FC">
        <w:t xml:space="preserve"> material, or derived new material from those of the </w:t>
      </w:r>
      <w:r w:rsidR="00F70EA4">
        <w:t>Takeovers Panel</w:t>
      </w:r>
      <w:r w:rsidRPr="00DA71FC">
        <w:t xml:space="preserve"> in any way, then </w:t>
      </w:r>
      <w:r w:rsidR="00F70EA4">
        <w:t>the Takeovers Pan</w:t>
      </w:r>
      <w:r w:rsidR="00B8635C">
        <w:t>e</w:t>
      </w:r>
      <w:r w:rsidR="00F70EA4">
        <w:t>l</w:t>
      </w:r>
      <w:r w:rsidRPr="00DA71FC">
        <w:t xml:space="preserve"> prefers the following attribution: </w:t>
      </w:r>
    </w:p>
    <w:p w14:paraId="51A4A983" w14:textId="77777777" w:rsidR="00DA71FC" w:rsidRPr="00DA71FC" w:rsidRDefault="00DA71FC" w:rsidP="00F47659">
      <w:pPr>
        <w:ind w:firstLine="907"/>
      </w:pPr>
      <w:r w:rsidRPr="00DA71FC">
        <w:t xml:space="preserve">Based on </w:t>
      </w:r>
      <w:r w:rsidRPr="00F47659">
        <w:rPr>
          <w:rStyle w:val="Emphasis"/>
        </w:rPr>
        <w:t>Commonwealth of Australia data</w:t>
      </w:r>
      <w:r w:rsidRPr="00DA71FC">
        <w:t>.</w:t>
      </w:r>
    </w:p>
    <w:p w14:paraId="3507DEDB" w14:textId="77777777" w:rsidR="00DA71FC" w:rsidRPr="00DA71FC" w:rsidRDefault="00DA71FC" w:rsidP="00DA71FC">
      <w:pPr>
        <w:autoSpaceDE w:val="0"/>
        <w:autoSpaceDN w:val="0"/>
        <w:adjustRightInd w:val="0"/>
        <w:spacing w:after="120" w:line="240" w:lineRule="auto"/>
        <w:rPr>
          <w:b/>
        </w:rPr>
      </w:pPr>
      <w:r w:rsidRPr="00DA71FC">
        <w:rPr>
          <w:b/>
        </w:rPr>
        <w:t>Use of the Coat of Arms</w:t>
      </w:r>
    </w:p>
    <w:p w14:paraId="37F238D0" w14:textId="05BCCE97" w:rsidR="00DA71FC" w:rsidRDefault="00DA71FC" w:rsidP="00DA71FC">
      <w:r w:rsidRPr="00DA71FC">
        <w:t xml:space="preserve">The terms under which the Coat of Arms can be used are set out on the Department of the Prime Minister and Cabinet website </w:t>
      </w:r>
      <w:r w:rsidR="00F47659">
        <w:br/>
      </w:r>
      <w:r w:rsidRPr="00DA71FC">
        <w:t xml:space="preserve">(see </w:t>
      </w:r>
      <w:r w:rsidRPr="00F47659">
        <w:rPr>
          <w:rStyle w:val="Hyperlink"/>
        </w:rPr>
        <w:t>www.pmc.gov.au/government/commonwealth-coat-arms</w:t>
      </w:r>
      <w:r w:rsidRPr="00DA71FC">
        <w:t>).</w:t>
      </w:r>
    </w:p>
    <w:p w14:paraId="571C6899" w14:textId="7E5280D6" w:rsidR="00862ED0" w:rsidRPr="005E3234" w:rsidRDefault="00862ED0" w:rsidP="009A4D32">
      <w:pPr>
        <w:spacing w:after="220"/>
      </w:pPr>
      <w:r w:rsidRPr="005E3234">
        <w:t>A copy of this document appears on the Takeovers Panel website. The website</w:t>
      </w:r>
      <w:r w:rsidR="008C2600" w:rsidRPr="005E3234">
        <w:t xml:space="preserve"> </w:t>
      </w:r>
      <w:r w:rsidRPr="005E3234">
        <w:t xml:space="preserve">address is: </w:t>
      </w:r>
      <w:hyperlink r:id="rId12" w:history="1">
        <w:r w:rsidR="008C2600" w:rsidRPr="005E3234">
          <w:rPr>
            <w:rStyle w:val="Hyperlink"/>
          </w:rPr>
          <w:t>www.takeovers.gov.au</w:t>
        </w:r>
      </w:hyperlink>
      <w:r w:rsidRPr="005E3234">
        <w:t>.</w:t>
      </w:r>
    </w:p>
    <w:p w14:paraId="571C689A" w14:textId="29A5CC3B" w:rsidR="00B15F19" w:rsidRDefault="00862ED0" w:rsidP="008C2600">
      <w:r w:rsidRPr="005E3234">
        <w:t>Printed by</w:t>
      </w:r>
      <w:r w:rsidR="0049575C" w:rsidRPr="005E3234">
        <w:t xml:space="preserve"> </w:t>
      </w:r>
      <w:r w:rsidR="007143A1" w:rsidRPr="005E3234">
        <w:t>CanPrint</w:t>
      </w:r>
      <w:r w:rsidR="00F47659">
        <w:t xml:space="preserve"> Communications Pty Ltd</w:t>
      </w:r>
      <w:r w:rsidR="00B14749" w:rsidRPr="005E3234">
        <w:t>.</w:t>
      </w:r>
      <w:r w:rsidRPr="0062047B">
        <w:t xml:space="preserve"> </w:t>
      </w:r>
    </w:p>
    <w:p w14:paraId="571C689B" w14:textId="77777777" w:rsidR="00215EE5" w:rsidRDefault="00215EE5" w:rsidP="008C2600">
      <w:pPr>
        <w:sectPr w:rsidR="00215EE5" w:rsidSect="0030372C">
          <w:headerReference w:type="even" r:id="rId13"/>
          <w:headerReference w:type="default" r:id="rId14"/>
          <w:footerReference w:type="even" r:id="rId15"/>
          <w:footerReference w:type="default" r:id="rId16"/>
          <w:headerReference w:type="first" r:id="rId17"/>
          <w:footerReference w:type="first" r:id="rId18"/>
          <w:pgSz w:w="11907" w:h="16840" w:code="9"/>
          <w:pgMar w:top="2466" w:right="2098" w:bottom="2466" w:left="2098" w:header="1899" w:footer="1899" w:gutter="0"/>
          <w:pgBorders w:offsetFrom="page">
            <w:bottom w:val="single" w:sz="2" w:space="24" w:color="1F497D" w:themeColor="text2"/>
          </w:pgBorders>
          <w:pgNumType w:fmt="lowerRoman"/>
          <w:cols w:space="720"/>
          <w:titlePg/>
          <w:docGrid w:linePitch="286"/>
        </w:sectPr>
      </w:pPr>
    </w:p>
    <w:tbl>
      <w:tblPr>
        <w:tblW w:w="5000" w:type="pct"/>
        <w:tblInd w:w="-18" w:type="dxa"/>
        <w:tblLayout w:type="fixed"/>
        <w:tblCellMar>
          <w:left w:w="0" w:type="dxa"/>
          <w:right w:w="0" w:type="dxa"/>
        </w:tblCellMar>
        <w:tblLook w:val="0000" w:firstRow="0" w:lastRow="0" w:firstColumn="0" w:lastColumn="0" w:noHBand="0" w:noVBand="0"/>
      </w:tblPr>
      <w:tblGrid>
        <w:gridCol w:w="4634"/>
        <w:gridCol w:w="956"/>
        <w:gridCol w:w="2121"/>
      </w:tblGrid>
      <w:tr w:rsidR="00B905D2" w14:paraId="571C689F" w14:textId="77777777" w:rsidTr="004C16EA">
        <w:tc>
          <w:tcPr>
            <w:tcW w:w="4804" w:type="dxa"/>
            <w:vMerge w:val="restart"/>
          </w:tcPr>
          <w:p w14:paraId="571C689C" w14:textId="77777777" w:rsidR="00B905D2" w:rsidRPr="00956152" w:rsidRDefault="00112688" w:rsidP="00956152">
            <w:pPr>
              <w:pStyle w:val="TableGraphic"/>
              <w:rPr>
                <w:snapToGrid w:val="0"/>
              </w:rPr>
            </w:pPr>
            <w:r>
              <w:rPr>
                <w:noProof/>
              </w:rPr>
              <w:lastRenderedPageBreak/>
              <w:drawing>
                <wp:inline distT="0" distB="0" distL="0" distR="0" wp14:anchorId="571C6E02" wp14:editId="1ABEBD1E">
                  <wp:extent cx="2381250" cy="54220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381250" cy="542202"/>
                          </a:xfrm>
                          <a:prstGeom prst="rect">
                            <a:avLst/>
                          </a:prstGeom>
                          <a:noFill/>
                          <a:ln>
                            <a:noFill/>
                          </a:ln>
                        </pic:spPr>
                      </pic:pic>
                    </a:graphicData>
                  </a:graphic>
                </wp:inline>
              </w:drawing>
            </w:r>
          </w:p>
        </w:tc>
        <w:tc>
          <w:tcPr>
            <w:tcW w:w="3189" w:type="dxa"/>
            <w:gridSpan w:val="2"/>
          </w:tcPr>
          <w:p w14:paraId="571C689D" w14:textId="08250AE1" w:rsidR="00B905D2" w:rsidRDefault="00B905D2">
            <w:pPr>
              <w:tabs>
                <w:tab w:val="left" w:pos="851"/>
              </w:tabs>
              <w:spacing w:before="60" w:after="0" w:line="240" w:lineRule="auto"/>
              <w:ind w:left="-3"/>
              <w:rPr>
                <w:sz w:val="16"/>
                <w:szCs w:val="16"/>
              </w:rPr>
            </w:pPr>
            <w:r>
              <w:rPr>
                <w:sz w:val="16"/>
              </w:rPr>
              <w:t>Level 1</w:t>
            </w:r>
            <w:r w:rsidR="0042256C">
              <w:rPr>
                <w:sz w:val="16"/>
              </w:rPr>
              <w:t>6</w:t>
            </w:r>
            <w:r>
              <w:rPr>
                <w:sz w:val="16"/>
              </w:rPr>
              <w:t xml:space="preserve">, </w:t>
            </w:r>
            <w:r w:rsidR="0042256C">
              <w:rPr>
                <w:sz w:val="16"/>
              </w:rPr>
              <w:t xml:space="preserve">530 Collins </w:t>
            </w:r>
            <w:r>
              <w:rPr>
                <w:sz w:val="16"/>
                <w:szCs w:val="16"/>
              </w:rPr>
              <w:t>Street</w:t>
            </w:r>
          </w:p>
          <w:p w14:paraId="571C689E" w14:textId="77777777" w:rsidR="00B905D2" w:rsidRDefault="00B905D2">
            <w:pPr>
              <w:tabs>
                <w:tab w:val="left" w:pos="709"/>
              </w:tabs>
              <w:spacing w:after="0" w:line="240" w:lineRule="auto"/>
              <w:ind w:left="-3"/>
              <w:rPr>
                <w:sz w:val="16"/>
              </w:rPr>
            </w:pPr>
            <w:r>
              <w:rPr>
                <w:sz w:val="16"/>
              </w:rPr>
              <w:t xml:space="preserve">Melbourne </w:t>
            </w:r>
            <w:r w:rsidR="00535EF6">
              <w:rPr>
                <w:sz w:val="16"/>
              </w:rPr>
              <w:t xml:space="preserve"> </w:t>
            </w:r>
            <w:r>
              <w:rPr>
                <w:sz w:val="16"/>
              </w:rPr>
              <w:t>VIC  3000</w:t>
            </w:r>
          </w:p>
        </w:tc>
      </w:tr>
      <w:tr w:rsidR="00B905D2" w14:paraId="571C68A9" w14:textId="77777777" w:rsidTr="004C16EA">
        <w:trPr>
          <w:trHeight w:val="742"/>
        </w:trPr>
        <w:tc>
          <w:tcPr>
            <w:tcW w:w="4804" w:type="dxa"/>
            <w:vMerge/>
          </w:tcPr>
          <w:p w14:paraId="571C68A0" w14:textId="77777777" w:rsidR="00B905D2" w:rsidRPr="005F6A64" w:rsidRDefault="00B905D2">
            <w:pPr>
              <w:pStyle w:val="TableGraphic"/>
              <w:rPr>
                <w:snapToGrid w:val="0"/>
              </w:rPr>
            </w:pPr>
          </w:p>
        </w:tc>
        <w:tc>
          <w:tcPr>
            <w:tcW w:w="991" w:type="dxa"/>
          </w:tcPr>
          <w:p w14:paraId="571C68A1" w14:textId="77777777" w:rsidR="00B905D2" w:rsidRDefault="00B905D2">
            <w:pPr>
              <w:tabs>
                <w:tab w:val="left" w:pos="851"/>
              </w:tabs>
              <w:spacing w:before="60" w:after="0" w:line="240" w:lineRule="auto"/>
              <w:ind w:left="-6"/>
              <w:rPr>
                <w:sz w:val="16"/>
              </w:rPr>
            </w:pPr>
            <w:r>
              <w:rPr>
                <w:sz w:val="16"/>
              </w:rPr>
              <w:t>Telephone:</w:t>
            </w:r>
          </w:p>
          <w:p w14:paraId="571C68A3" w14:textId="77777777" w:rsidR="00B905D2" w:rsidRDefault="00B905D2">
            <w:pPr>
              <w:tabs>
                <w:tab w:val="left" w:pos="851"/>
              </w:tabs>
              <w:spacing w:before="60" w:after="0" w:line="240" w:lineRule="auto"/>
              <w:ind w:left="-3"/>
              <w:rPr>
                <w:sz w:val="16"/>
              </w:rPr>
            </w:pPr>
            <w:r>
              <w:rPr>
                <w:sz w:val="16"/>
              </w:rPr>
              <w:t>Internet:</w:t>
            </w:r>
          </w:p>
          <w:p w14:paraId="571C68A4" w14:textId="77777777" w:rsidR="00B905D2" w:rsidRDefault="00B905D2">
            <w:pPr>
              <w:tabs>
                <w:tab w:val="left" w:pos="851"/>
              </w:tabs>
              <w:spacing w:after="0" w:line="240" w:lineRule="auto"/>
              <w:ind w:left="-6"/>
              <w:rPr>
                <w:sz w:val="16"/>
              </w:rPr>
            </w:pPr>
            <w:r>
              <w:rPr>
                <w:sz w:val="16"/>
              </w:rPr>
              <w:t>Email:</w:t>
            </w:r>
          </w:p>
        </w:tc>
        <w:tc>
          <w:tcPr>
            <w:tcW w:w="2198" w:type="dxa"/>
          </w:tcPr>
          <w:p w14:paraId="571C68A5" w14:textId="77777777" w:rsidR="00B905D2" w:rsidRDefault="00B905D2">
            <w:pPr>
              <w:tabs>
                <w:tab w:val="left" w:pos="851"/>
              </w:tabs>
              <w:spacing w:before="60" w:after="0" w:line="240" w:lineRule="auto"/>
              <w:ind w:left="-3"/>
              <w:rPr>
                <w:sz w:val="16"/>
              </w:rPr>
            </w:pPr>
            <w:r>
              <w:rPr>
                <w:sz w:val="16"/>
              </w:rPr>
              <w:t>03 9655 3500</w:t>
            </w:r>
          </w:p>
          <w:p w14:paraId="571C68A7" w14:textId="77777777" w:rsidR="00B905D2" w:rsidRDefault="00872A1D">
            <w:pPr>
              <w:tabs>
                <w:tab w:val="left" w:pos="851"/>
              </w:tabs>
              <w:spacing w:before="60" w:after="0" w:line="240" w:lineRule="auto"/>
              <w:ind w:left="-3"/>
              <w:rPr>
                <w:sz w:val="16"/>
              </w:rPr>
            </w:pPr>
            <w:hyperlink r:id="rId20" w:history="1">
              <w:r w:rsidR="00B905D2" w:rsidRPr="00874CD4">
                <w:rPr>
                  <w:rStyle w:val="Hyperlink"/>
                  <w:sz w:val="16"/>
                </w:rPr>
                <w:t>www.takeovers.gov.au</w:t>
              </w:r>
            </w:hyperlink>
          </w:p>
          <w:p w14:paraId="571C68A8" w14:textId="77777777" w:rsidR="00B905D2" w:rsidRDefault="00872A1D">
            <w:pPr>
              <w:tabs>
                <w:tab w:val="left" w:pos="851"/>
              </w:tabs>
              <w:spacing w:after="0" w:line="240" w:lineRule="auto"/>
              <w:ind w:left="-6"/>
              <w:rPr>
                <w:sz w:val="16"/>
              </w:rPr>
            </w:pPr>
            <w:hyperlink r:id="rId21" w:history="1">
              <w:r w:rsidR="00B905D2" w:rsidRPr="00874CD4">
                <w:rPr>
                  <w:rStyle w:val="Hyperlink"/>
                  <w:sz w:val="16"/>
                </w:rPr>
                <w:t>takeovers@takeovers.gov.au</w:t>
              </w:r>
            </w:hyperlink>
          </w:p>
        </w:tc>
      </w:tr>
    </w:tbl>
    <w:p w14:paraId="571C68AA" w14:textId="77777777" w:rsidR="006555DE" w:rsidRDefault="006555DE"/>
    <w:p w14:paraId="571C68AB" w14:textId="5EC3F7DD" w:rsidR="006555DE" w:rsidRPr="005238B4" w:rsidRDefault="00153348">
      <w:pPr>
        <w:spacing w:after="0"/>
        <w:jc w:val="right"/>
      </w:pPr>
      <w:r>
        <w:t>3 September</w:t>
      </w:r>
      <w:r w:rsidR="009E760A" w:rsidRPr="005238B4">
        <w:t xml:space="preserve"> </w:t>
      </w:r>
      <w:r w:rsidR="006555DE" w:rsidRPr="005238B4">
        <w:t>20</w:t>
      </w:r>
      <w:r w:rsidR="0042256C" w:rsidRPr="005238B4">
        <w:t>2</w:t>
      </w:r>
      <w:r w:rsidR="00A30858" w:rsidRPr="005238B4">
        <w:t>4</w:t>
      </w:r>
    </w:p>
    <w:p w14:paraId="571C68AC" w14:textId="77777777" w:rsidR="006555DE" w:rsidRPr="00512EC1" w:rsidRDefault="006555DE">
      <w:pPr>
        <w:rPr>
          <w:highlight w:val="yellow"/>
        </w:rPr>
      </w:pPr>
    </w:p>
    <w:p w14:paraId="571C68AD" w14:textId="77777777" w:rsidR="00345183" w:rsidRPr="00A30858" w:rsidRDefault="00345183" w:rsidP="00DB2EF2">
      <w:pPr>
        <w:spacing w:after="0"/>
      </w:pPr>
    </w:p>
    <w:p w14:paraId="571C68AE" w14:textId="4DCA7CAB" w:rsidR="00345183" w:rsidRPr="00A30858" w:rsidRDefault="007C7865" w:rsidP="0050734D">
      <w:pPr>
        <w:spacing w:after="0"/>
      </w:pPr>
      <w:r w:rsidRPr="00A30858">
        <w:t>The Hon</w:t>
      </w:r>
      <w:r w:rsidR="00021B2A" w:rsidRPr="00A30858">
        <w:t xml:space="preserve"> </w:t>
      </w:r>
      <w:r w:rsidR="00EB12AE" w:rsidRPr="00A30858">
        <w:t xml:space="preserve">Dr </w:t>
      </w:r>
      <w:r w:rsidR="004E0CC5" w:rsidRPr="00A30858">
        <w:t>Andrew Lei</w:t>
      </w:r>
      <w:r w:rsidR="00C44DAB" w:rsidRPr="00A30858">
        <w:t>g</w:t>
      </w:r>
      <w:r w:rsidR="004E0CC5" w:rsidRPr="00A30858">
        <w:t>h</w:t>
      </w:r>
      <w:r w:rsidR="00E26EF5" w:rsidRPr="00A30858">
        <w:t xml:space="preserve"> MP</w:t>
      </w:r>
    </w:p>
    <w:p w14:paraId="571C68AF" w14:textId="7749D48D" w:rsidR="007C7865" w:rsidRPr="00A30858" w:rsidRDefault="004E0CC5" w:rsidP="00DB2EF2">
      <w:pPr>
        <w:spacing w:after="0"/>
      </w:pPr>
      <w:r w:rsidRPr="00A30858">
        <w:t>Assistant Minister for Competition, Charities and Treasury</w:t>
      </w:r>
    </w:p>
    <w:p w14:paraId="571C68B0" w14:textId="21A7B07D" w:rsidR="006555DE" w:rsidRPr="00A30858" w:rsidRDefault="006555DE" w:rsidP="00DB2EF2">
      <w:pPr>
        <w:spacing w:after="0"/>
      </w:pPr>
      <w:r w:rsidRPr="00A30858">
        <w:t>Parliament House</w:t>
      </w:r>
      <w:r w:rsidR="004307DC" w:rsidRPr="00A30858">
        <w:br/>
      </w:r>
      <w:r w:rsidRPr="00A30858">
        <w:t>Canberra ACT 2600</w:t>
      </w:r>
    </w:p>
    <w:p w14:paraId="571C68B1" w14:textId="550F3C92" w:rsidR="006555DE" w:rsidRPr="00A30858" w:rsidRDefault="006555DE" w:rsidP="00AE31C6">
      <w:pPr>
        <w:spacing w:before="480"/>
      </w:pPr>
      <w:bookmarkStart w:id="16" w:name="_Toc143338221"/>
      <w:r w:rsidRPr="00A30858">
        <w:t xml:space="preserve">Dear </w:t>
      </w:r>
      <w:bookmarkEnd w:id="16"/>
      <w:r w:rsidR="004E0CC5" w:rsidRPr="00A30858">
        <w:t xml:space="preserve">Assistant Minister </w:t>
      </w:r>
    </w:p>
    <w:p w14:paraId="571C68B2" w14:textId="09FAD43C" w:rsidR="006555DE" w:rsidRPr="00A30858" w:rsidRDefault="00FA0841">
      <w:pPr>
        <w:rPr>
          <w:b/>
          <w:caps/>
        </w:rPr>
      </w:pPr>
      <w:r w:rsidRPr="00A30858">
        <w:rPr>
          <w:b/>
        </w:rPr>
        <w:t xml:space="preserve">ANNUAL REPORT </w:t>
      </w:r>
      <w:r w:rsidR="00A30858" w:rsidRPr="00A30858">
        <w:rPr>
          <w:b/>
          <w:sz w:val="24"/>
        </w:rPr>
        <w:t>2023</w:t>
      </w:r>
      <w:r w:rsidR="008941F8">
        <w:rPr>
          <w:b/>
          <w:sz w:val="24"/>
        </w:rPr>
        <w:noBreakHyphen/>
      </w:r>
      <w:r w:rsidR="00A30858" w:rsidRPr="00A30858">
        <w:rPr>
          <w:b/>
          <w:sz w:val="24"/>
        </w:rPr>
        <w:t>24</w:t>
      </w:r>
    </w:p>
    <w:p w14:paraId="571C68B3" w14:textId="5934C14D" w:rsidR="006555DE" w:rsidRPr="00A30858" w:rsidRDefault="006555DE" w:rsidP="00610152">
      <w:pPr>
        <w:rPr>
          <w:spacing w:val="-2"/>
        </w:rPr>
      </w:pPr>
      <w:r w:rsidRPr="00A30858">
        <w:rPr>
          <w:spacing w:val="-2"/>
        </w:rPr>
        <w:t xml:space="preserve">In accordance with section 183 of the </w:t>
      </w:r>
      <w:r w:rsidRPr="00A30858">
        <w:rPr>
          <w:i/>
          <w:spacing w:val="-2"/>
        </w:rPr>
        <w:t>Australian Securities and Investments Commission Act</w:t>
      </w:r>
      <w:r w:rsidR="006B6647" w:rsidRPr="00A30858">
        <w:rPr>
          <w:i/>
          <w:spacing w:val="-2"/>
        </w:rPr>
        <w:t> </w:t>
      </w:r>
      <w:r w:rsidRPr="00A30858">
        <w:rPr>
          <w:i/>
          <w:spacing w:val="-2"/>
        </w:rPr>
        <w:t>2001</w:t>
      </w:r>
      <w:r w:rsidRPr="00A30858">
        <w:rPr>
          <w:spacing w:val="-2"/>
        </w:rPr>
        <w:t xml:space="preserve">, I submit the </w:t>
      </w:r>
      <w:r w:rsidR="00A30858" w:rsidRPr="00A30858">
        <w:rPr>
          <w:spacing w:val="-2"/>
        </w:rPr>
        <w:t>2023</w:t>
      </w:r>
      <w:r w:rsidR="008941F8">
        <w:rPr>
          <w:spacing w:val="-2"/>
        </w:rPr>
        <w:noBreakHyphen/>
      </w:r>
      <w:r w:rsidR="00A30858" w:rsidRPr="00A30858">
        <w:rPr>
          <w:spacing w:val="-2"/>
        </w:rPr>
        <w:t>24</w:t>
      </w:r>
      <w:r w:rsidRPr="00A30858">
        <w:rPr>
          <w:spacing w:val="-2"/>
        </w:rPr>
        <w:t xml:space="preserve"> Annual Report of the Takeovers Panel for presentation to Parliament. </w:t>
      </w:r>
    </w:p>
    <w:p w14:paraId="571C68B4" w14:textId="5DDB2C31" w:rsidR="00112688" w:rsidRPr="00A30858" w:rsidRDefault="006555DE" w:rsidP="00147181">
      <w:pPr>
        <w:tabs>
          <w:tab w:val="left" w:pos="1884"/>
          <w:tab w:val="left" w:pos="3030"/>
        </w:tabs>
      </w:pPr>
      <w:r w:rsidRPr="00A30858">
        <w:t>Yours sincerely</w:t>
      </w:r>
    </w:p>
    <w:p w14:paraId="12FFE858" w14:textId="2DF0614C" w:rsidR="0073723F" w:rsidRPr="00A30858" w:rsidRDefault="0073723F" w:rsidP="00147181">
      <w:pPr>
        <w:tabs>
          <w:tab w:val="left" w:pos="1884"/>
          <w:tab w:val="left" w:pos="3030"/>
        </w:tabs>
        <w:rPr>
          <w:noProof/>
          <w:lang w:eastAsia="en-AU"/>
        </w:rPr>
      </w:pPr>
    </w:p>
    <w:p w14:paraId="79D16DC8" w14:textId="10CC8BD5" w:rsidR="0073723F" w:rsidRPr="00A30858" w:rsidRDefault="0073723F" w:rsidP="0073723F">
      <w:pPr>
        <w:tabs>
          <w:tab w:val="left" w:pos="1884"/>
          <w:tab w:val="left" w:pos="3030"/>
        </w:tabs>
        <w:spacing w:line="240" w:lineRule="auto"/>
      </w:pPr>
      <w:r w:rsidRPr="00A30858">
        <w:rPr>
          <w:noProof/>
          <w:lang w:eastAsia="en-AU"/>
        </w:rPr>
        <w:drawing>
          <wp:inline distT="0" distB="0" distL="0" distR="0" wp14:anchorId="121D1371" wp14:editId="007F9E36">
            <wp:extent cx="1520190" cy="884555"/>
            <wp:effectExtent l="0" t="0" r="3810" b="0"/>
            <wp:docPr id="7" name="Picture 7" descr="Alex Cartel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ex Cartel signature&#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0190" cy="884555"/>
                    </a:xfrm>
                    <a:prstGeom prst="rect">
                      <a:avLst/>
                    </a:prstGeom>
                  </pic:spPr>
                </pic:pic>
              </a:graphicData>
            </a:graphic>
          </wp:inline>
        </w:drawing>
      </w:r>
    </w:p>
    <w:p w14:paraId="571C68B5" w14:textId="77777777" w:rsidR="006555DE" w:rsidRDefault="00021B2A" w:rsidP="00243EBF">
      <w:pPr>
        <w:tabs>
          <w:tab w:val="left" w:pos="1884"/>
          <w:tab w:val="left" w:pos="3030"/>
        </w:tabs>
        <w:spacing w:before="480" w:after="0"/>
      </w:pPr>
      <w:r w:rsidRPr="00A30858">
        <w:t>Alex Cartel</w:t>
      </w:r>
      <w:r w:rsidR="004307DC" w:rsidRPr="00A30858">
        <w:br/>
      </w:r>
      <w:r w:rsidR="006555DE" w:rsidRPr="00A30858">
        <w:t>President</w:t>
      </w:r>
    </w:p>
    <w:p w14:paraId="571C68B6" w14:textId="77777777" w:rsidR="006555DE" w:rsidRDefault="006555DE" w:rsidP="00B46724">
      <w:pPr>
        <w:pStyle w:val="SingleParagraph"/>
      </w:pPr>
    </w:p>
    <w:p w14:paraId="613EFBE3" w14:textId="77777777" w:rsidR="002D0C50" w:rsidRDefault="002D0C50" w:rsidP="00382254">
      <w:pPr>
        <w:pStyle w:val="ContentsHeading"/>
        <w:sectPr w:rsidR="002D0C50" w:rsidSect="0030372C">
          <w:headerReference w:type="even" r:id="rId23"/>
          <w:headerReference w:type="default" r:id="rId24"/>
          <w:footerReference w:type="even" r:id="rId25"/>
          <w:footerReference w:type="default" r:id="rId26"/>
          <w:headerReference w:type="first" r:id="rId27"/>
          <w:footerReference w:type="first" r:id="rId28"/>
          <w:pgSz w:w="11907" w:h="16840" w:code="9"/>
          <w:pgMar w:top="2466" w:right="2098" w:bottom="2466" w:left="2098" w:header="1899" w:footer="1899" w:gutter="0"/>
          <w:pgBorders w:offsetFrom="page">
            <w:bottom w:val="single" w:sz="2" w:space="24" w:color="1F497D" w:themeColor="text2"/>
          </w:pgBorders>
          <w:pgNumType w:fmt="lowerRoman"/>
          <w:cols w:space="720"/>
          <w:titlePg/>
          <w:docGrid w:linePitch="286"/>
        </w:sectPr>
      </w:pPr>
      <w:bookmarkStart w:id="17" w:name="_Toc148265063"/>
      <w:bookmarkStart w:id="18" w:name="_Toc362608060"/>
    </w:p>
    <w:p w14:paraId="571C68B8" w14:textId="660CDC3B" w:rsidR="006555DE" w:rsidRPr="00297310" w:rsidRDefault="00CC73CE" w:rsidP="00834C81">
      <w:pPr>
        <w:pStyle w:val="ContentsHeading"/>
      </w:pPr>
      <w:bookmarkStart w:id="19" w:name="_Toc174632371"/>
      <w:r w:rsidRPr="00297310">
        <w:lastRenderedPageBreak/>
        <w:t>Table</w:t>
      </w:r>
      <w:r w:rsidR="00FD5B8E" w:rsidRPr="00297310">
        <w:t xml:space="preserve"> </w:t>
      </w:r>
      <w:r w:rsidR="00215EE5" w:rsidRPr="00297310">
        <w:t xml:space="preserve">of </w:t>
      </w:r>
      <w:r w:rsidR="006555DE" w:rsidRPr="00834C81">
        <w:t>Contents</w:t>
      </w:r>
      <w:bookmarkEnd w:id="17"/>
      <w:bookmarkEnd w:id="18"/>
      <w:bookmarkEnd w:id="19"/>
    </w:p>
    <w:p w14:paraId="437B6C06" w14:textId="30B9C9C8" w:rsidR="002D2C29" w:rsidRPr="00297310" w:rsidRDefault="00C21DF5">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rPr>
          <w:rFonts w:ascii="Arial" w:eastAsia="Batang" w:hAnsi="Arial" w:cs="Arial"/>
          <w:smallCaps/>
          <w:color w:val="1F497D" w:themeColor="text2"/>
        </w:rPr>
        <w:fldChar w:fldCharType="begin"/>
      </w:r>
      <w:r w:rsidRPr="00297310">
        <w:rPr>
          <w:rFonts w:ascii="Arial" w:eastAsia="Batang" w:hAnsi="Arial" w:cs="Arial"/>
        </w:rPr>
        <w:instrText xml:space="preserve"> TOC \o "1-2" \u </w:instrText>
      </w:r>
      <w:r w:rsidRPr="00297310">
        <w:rPr>
          <w:rFonts w:ascii="Arial" w:eastAsia="Batang" w:hAnsi="Arial" w:cs="Arial"/>
          <w:smallCaps/>
          <w:color w:val="1F497D" w:themeColor="text2"/>
        </w:rPr>
        <w:fldChar w:fldCharType="separate"/>
      </w:r>
      <w:r w:rsidR="002D2C29" w:rsidRPr="00297310">
        <w:t>Takeovers Panel</w:t>
      </w:r>
      <w:r w:rsidR="002D2C29" w:rsidRPr="00297310">
        <w:tab/>
      </w:r>
      <w:r w:rsidR="002D2C29" w:rsidRPr="00297310">
        <w:fldChar w:fldCharType="begin"/>
      </w:r>
      <w:r w:rsidR="002D2C29" w:rsidRPr="00297310">
        <w:instrText xml:space="preserve"> PAGEREF _Toc174632369 \h </w:instrText>
      </w:r>
      <w:r w:rsidR="002D2C29" w:rsidRPr="00297310">
        <w:fldChar w:fldCharType="separate"/>
      </w:r>
      <w:r w:rsidR="00F1212B">
        <w:t>i</w:t>
      </w:r>
      <w:r w:rsidR="002D2C29" w:rsidRPr="00297310">
        <w:fldChar w:fldCharType="end"/>
      </w:r>
    </w:p>
    <w:p w14:paraId="70EBFF2A" w14:textId="364EFE1F"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Annual Report 2023</w:t>
      </w:r>
      <w:r w:rsidR="008941F8">
        <w:noBreakHyphen/>
      </w:r>
      <w:r w:rsidRPr="00297310">
        <w:t>24</w:t>
      </w:r>
      <w:r w:rsidRPr="00297310">
        <w:tab/>
      </w:r>
      <w:r w:rsidRPr="00297310">
        <w:fldChar w:fldCharType="begin"/>
      </w:r>
      <w:r w:rsidRPr="00297310">
        <w:instrText xml:space="preserve"> PAGEREF _Toc174632370 \h </w:instrText>
      </w:r>
      <w:r w:rsidRPr="00297310">
        <w:fldChar w:fldCharType="separate"/>
      </w:r>
      <w:r w:rsidR="00F1212B">
        <w:t>i</w:t>
      </w:r>
      <w:r w:rsidRPr="00297310">
        <w:fldChar w:fldCharType="end"/>
      </w:r>
    </w:p>
    <w:p w14:paraId="28A8D80F" w14:textId="7F391A7A"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Table of Contents</w:t>
      </w:r>
      <w:r w:rsidRPr="00297310">
        <w:tab/>
      </w:r>
      <w:r w:rsidRPr="00297310">
        <w:fldChar w:fldCharType="begin"/>
      </w:r>
      <w:r w:rsidRPr="00297310">
        <w:instrText xml:space="preserve"> PAGEREF _Toc174632371 \h </w:instrText>
      </w:r>
      <w:r w:rsidRPr="00297310">
        <w:fldChar w:fldCharType="separate"/>
      </w:r>
      <w:r w:rsidR="00F1212B">
        <w:t>iv</w:t>
      </w:r>
      <w:r w:rsidRPr="00297310">
        <w:fldChar w:fldCharType="end"/>
      </w:r>
    </w:p>
    <w:p w14:paraId="70757D34" w14:textId="0D99E865"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List of tables</w:t>
      </w:r>
      <w:r w:rsidRPr="00297310">
        <w:tab/>
      </w:r>
      <w:r w:rsidRPr="00297310">
        <w:fldChar w:fldCharType="begin"/>
      </w:r>
      <w:r w:rsidRPr="00297310">
        <w:instrText xml:space="preserve"> PAGEREF _Toc174632372 \h </w:instrText>
      </w:r>
      <w:r w:rsidRPr="00297310">
        <w:fldChar w:fldCharType="separate"/>
      </w:r>
      <w:r w:rsidR="00F1212B">
        <w:t>vi</w:t>
      </w:r>
      <w:r w:rsidRPr="00297310">
        <w:fldChar w:fldCharType="end"/>
      </w:r>
    </w:p>
    <w:p w14:paraId="66513836" w14:textId="7B35D33F"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List of charts</w:t>
      </w:r>
      <w:r w:rsidRPr="00297310">
        <w:tab/>
      </w:r>
      <w:r w:rsidRPr="00297310">
        <w:fldChar w:fldCharType="begin"/>
      </w:r>
      <w:r w:rsidRPr="00297310">
        <w:instrText xml:space="preserve"> PAGEREF _Toc174632373 \h </w:instrText>
      </w:r>
      <w:r w:rsidRPr="00297310">
        <w:fldChar w:fldCharType="separate"/>
      </w:r>
      <w:r w:rsidR="00F1212B">
        <w:t>vi</w:t>
      </w:r>
      <w:r w:rsidRPr="00297310">
        <w:fldChar w:fldCharType="end"/>
      </w:r>
    </w:p>
    <w:p w14:paraId="54E6676D" w14:textId="2F854AD4"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Index of Compliance</w:t>
      </w:r>
      <w:r w:rsidRPr="00297310">
        <w:tab/>
      </w:r>
      <w:r w:rsidRPr="00297310">
        <w:fldChar w:fldCharType="begin"/>
      </w:r>
      <w:r w:rsidRPr="00297310">
        <w:instrText xml:space="preserve"> PAGEREF _Toc174632374 \h </w:instrText>
      </w:r>
      <w:r w:rsidRPr="00297310">
        <w:fldChar w:fldCharType="separate"/>
      </w:r>
      <w:r w:rsidR="00F1212B">
        <w:t>vii</w:t>
      </w:r>
      <w:r w:rsidRPr="00297310">
        <w:fldChar w:fldCharType="end"/>
      </w:r>
    </w:p>
    <w:p w14:paraId="261AAB73" w14:textId="05685705"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Part 1 – Background</w:t>
      </w:r>
      <w:r w:rsidRPr="00297310">
        <w:tab/>
      </w:r>
      <w:r w:rsidRPr="00297310">
        <w:fldChar w:fldCharType="begin"/>
      </w:r>
      <w:r w:rsidRPr="00297310">
        <w:instrText xml:space="preserve"> PAGEREF _Toc174632375 \h </w:instrText>
      </w:r>
      <w:r w:rsidRPr="00297310">
        <w:fldChar w:fldCharType="separate"/>
      </w:r>
      <w:r w:rsidR="00F1212B">
        <w:t>1</w:t>
      </w:r>
      <w:r w:rsidRPr="00297310">
        <w:fldChar w:fldCharType="end"/>
      </w:r>
    </w:p>
    <w:p w14:paraId="68300F00" w14:textId="20A3E8D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Who we are</w:t>
      </w:r>
      <w:r w:rsidRPr="00297310">
        <w:tab/>
      </w:r>
      <w:r w:rsidRPr="00297310">
        <w:fldChar w:fldCharType="begin"/>
      </w:r>
      <w:r w:rsidRPr="00297310">
        <w:instrText xml:space="preserve"> PAGEREF _Toc174632376 \h </w:instrText>
      </w:r>
      <w:r w:rsidRPr="00297310">
        <w:fldChar w:fldCharType="separate"/>
      </w:r>
      <w:r w:rsidR="00F1212B">
        <w:t>1</w:t>
      </w:r>
      <w:r w:rsidRPr="00297310">
        <w:fldChar w:fldCharType="end"/>
      </w:r>
    </w:p>
    <w:p w14:paraId="16BC63FF" w14:textId="7B341710"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Our website</w:t>
      </w:r>
      <w:r w:rsidRPr="00297310">
        <w:tab/>
      </w:r>
      <w:r w:rsidRPr="00297310">
        <w:fldChar w:fldCharType="begin"/>
      </w:r>
      <w:r w:rsidRPr="00297310">
        <w:instrText xml:space="preserve"> PAGEREF _Toc174632377 \h </w:instrText>
      </w:r>
      <w:r w:rsidRPr="00297310">
        <w:fldChar w:fldCharType="separate"/>
      </w:r>
      <w:r w:rsidR="00F1212B">
        <w:t>2</w:t>
      </w:r>
      <w:r w:rsidRPr="00297310">
        <w:fldChar w:fldCharType="end"/>
      </w:r>
    </w:p>
    <w:p w14:paraId="5454DDD1" w14:textId="1103FB24"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Who to contact</w:t>
      </w:r>
      <w:r w:rsidRPr="00297310">
        <w:tab/>
      </w:r>
      <w:r w:rsidRPr="00297310">
        <w:fldChar w:fldCharType="begin"/>
      </w:r>
      <w:r w:rsidRPr="00297310">
        <w:instrText xml:space="preserve"> PAGEREF _Toc174632378 \h </w:instrText>
      </w:r>
      <w:r w:rsidRPr="00297310">
        <w:fldChar w:fldCharType="separate"/>
      </w:r>
      <w:r w:rsidR="00F1212B">
        <w:t>2</w:t>
      </w:r>
      <w:r w:rsidRPr="00297310">
        <w:fldChar w:fldCharType="end"/>
      </w:r>
    </w:p>
    <w:p w14:paraId="56CE6CE5" w14:textId="306F12DF"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Review by the President</w:t>
      </w:r>
      <w:r w:rsidRPr="00297310">
        <w:tab/>
      </w:r>
      <w:r w:rsidRPr="00297310">
        <w:fldChar w:fldCharType="begin"/>
      </w:r>
      <w:r w:rsidRPr="00297310">
        <w:instrText xml:space="preserve"> PAGEREF _Toc174632379 \h </w:instrText>
      </w:r>
      <w:r w:rsidRPr="00297310">
        <w:fldChar w:fldCharType="separate"/>
      </w:r>
      <w:r w:rsidR="00F1212B">
        <w:t>3</w:t>
      </w:r>
      <w:r w:rsidRPr="00297310">
        <w:fldChar w:fldCharType="end"/>
      </w:r>
    </w:p>
    <w:p w14:paraId="48348274" w14:textId="4F4E2A76"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Panel at a glance 2023–24</w:t>
      </w:r>
      <w:r w:rsidRPr="00297310">
        <w:tab/>
      </w:r>
      <w:r w:rsidRPr="00297310">
        <w:fldChar w:fldCharType="begin"/>
      </w:r>
      <w:r w:rsidRPr="00297310">
        <w:instrText xml:space="preserve"> PAGEREF _Toc174632380 \h </w:instrText>
      </w:r>
      <w:r w:rsidRPr="00297310">
        <w:fldChar w:fldCharType="separate"/>
      </w:r>
      <w:r w:rsidR="00F1212B">
        <w:t>6</w:t>
      </w:r>
      <w:r w:rsidRPr="00297310">
        <w:fldChar w:fldCharType="end"/>
      </w:r>
    </w:p>
    <w:p w14:paraId="217D803F" w14:textId="4CD8F30A"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Part 2 – The Panel</w:t>
      </w:r>
      <w:r w:rsidRPr="00297310">
        <w:tab/>
      </w:r>
      <w:r w:rsidRPr="00297310">
        <w:fldChar w:fldCharType="begin"/>
      </w:r>
      <w:r w:rsidRPr="00297310">
        <w:instrText xml:space="preserve"> PAGEREF _Toc174632381 \h </w:instrText>
      </w:r>
      <w:r w:rsidRPr="00297310">
        <w:fldChar w:fldCharType="separate"/>
      </w:r>
      <w:r w:rsidR="00F1212B">
        <w:t>7</w:t>
      </w:r>
      <w:r w:rsidRPr="00297310">
        <w:fldChar w:fldCharType="end"/>
      </w:r>
    </w:p>
    <w:p w14:paraId="66ADBE23" w14:textId="5D5D89BE"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Other features</w:t>
      </w:r>
      <w:r w:rsidRPr="00297310">
        <w:tab/>
      </w:r>
      <w:r w:rsidRPr="00297310">
        <w:fldChar w:fldCharType="begin"/>
      </w:r>
      <w:r w:rsidRPr="00297310">
        <w:instrText xml:space="preserve"> PAGEREF _Toc174632382 \h </w:instrText>
      </w:r>
      <w:r w:rsidRPr="00297310">
        <w:fldChar w:fldCharType="separate"/>
      </w:r>
      <w:r w:rsidR="00F1212B">
        <w:t>8</w:t>
      </w:r>
      <w:r w:rsidRPr="00297310">
        <w:fldChar w:fldCharType="end"/>
      </w:r>
    </w:p>
    <w:p w14:paraId="326428F8" w14:textId="3100534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Organisational structure</w:t>
      </w:r>
      <w:r w:rsidRPr="00297310">
        <w:tab/>
      </w:r>
      <w:r w:rsidRPr="00297310">
        <w:fldChar w:fldCharType="begin"/>
      </w:r>
      <w:r w:rsidRPr="00297310">
        <w:instrText xml:space="preserve"> PAGEREF _Toc174632383 \h </w:instrText>
      </w:r>
      <w:r w:rsidRPr="00297310">
        <w:fldChar w:fldCharType="separate"/>
      </w:r>
      <w:r w:rsidR="00F1212B">
        <w:t>9</w:t>
      </w:r>
      <w:r w:rsidRPr="00297310">
        <w:fldChar w:fldCharType="end"/>
      </w:r>
    </w:p>
    <w:p w14:paraId="47848D48" w14:textId="25E8B006"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Panel President</w:t>
      </w:r>
      <w:r w:rsidRPr="00297310">
        <w:tab/>
      </w:r>
      <w:r w:rsidRPr="00297310">
        <w:fldChar w:fldCharType="begin"/>
      </w:r>
      <w:r w:rsidRPr="00297310">
        <w:instrText xml:space="preserve"> PAGEREF _Toc174632384 \h </w:instrText>
      </w:r>
      <w:r w:rsidRPr="00297310">
        <w:fldChar w:fldCharType="separate"/>
      </w:r>
      <w:r w:rsidR="00F1212B">
        <w:t>9</w:t>
      </w:r>
      <w:r w:rsidRPr="00297310">
        <w:fldChar w:fldCharType="end"/>
      </w:r>
    </w:p>
    <w:p w14:paraId="432CDF2B" w14:textId="563D0C5A"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Acting Presidents</w:t>
      </w:r>
      <w:r w:rsidRPr="00297310">
        <w:tab/>
      </w:r>
      <w:r w:rsidRPr="00297310">
        <w:fldChar w:fldCharType="begin"/>
      </w:r>
      <w:r w:rsidRPr="00297310">
        <w:instrText xml:space="preserve"> PAGEREF _Toc174632385 \h </w:instrText>
      </w:r>
      <w:r w:rsidRPr="00297310">
        <w:fldChar w:fldCharType="separate"/>
      </w:r>
      <w:r w:rsidR="00F1212B">
        <w:t>10</w:t>
      </w:r>
      <w:r w:rsidRPr="00297310">
        <w:fldChar w:fldCharType="end"/>
      </w:r>
    </w:p>
    <w:p w14:paraId="2B7A508F" w14:textId="185242A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Panel Executive</w:t>
      </w:r>
      <w:r w:rsidRPr="00297310">
        <w:tab/>
      </w:r>
      <w:r w:rsidRPr="00297310">
        <w:fldChar w:fldCharType="begin"/>
      </w:r>
      <w:r w:rsidRPr="00297310">
        <w:instrText xml:space="preserve"> PAGEREF _Toc174632386 \h </w:instrText>
      </w:r>
      <w:r w:rsidRPr="00297310">
        <w:fldChar w:fldCharType="separate"/>
      </w:r>
      <w:r w:rsidR="00F1212B">
        <w:t>10</w:t>
      </w:r>
      <w:r w:rsidRPr="00297310">
        <w:fldChar w:fldCharType="end"/>
      </w:r>
    </w:p>
    <w:p w14:paraId="0E7152EC" w14:textId="3BABA17E"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The Office</w:t>
      </w:r>
      <w:r w:rsidR="00E87039" w:rsidRPr="00297310">
        <w:tab/>
        <w:t>….</w:t>
      </w:r>
      <w:r w:rsidRPr="00297310">
        <w:tab/>
      </w:r>
      <w:r w:rsidRPr="00297310">
        <w:fldChar w:fldCharType="begin"/>
      </w:r>
      <w:r w:rsidRPr="00297310">
        <w:instrText xml:space="preserve"> PAGEREF _Toc174632387 \h </w:instrText>
      </w:r>
      <w:r w:rsidRPr="00297310">
        <w:fldChar w:fldCharType="separate"/>
      </w:r>
      <w:r w:rsidR="00F1212B">
        <w:t>11</w:t>
      </w:r>
      <w:r w:rsidRPr="00297310">
        <w:fldChar w:fldCharType="end"/>
      </w:r>
    </w:p>
    <w:p w14:paraId="2C86DA76" w14:textId="5A846B46"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Appointment of Panel members</w:t>
      </w:r>
      <w:r w:rsidRPr="00297310">
        <w:tab/>
      </w:r>
      <w:r w:rsidRPr="00297310">
        <w:fldChar w:fldCharType="begin"/>
      </w:r>
      <w:r w:rsidRPr="00297310">
        <w:instrText xml:space="preserve"> PAGEREF _Toc174632388 \h </w:instrText>
      </w:r>
      <w:r w:rsidRPr="00297310">
        <w:fldChar w:fldCharType="separate"/>
      </w:r>
      <w:r w:rsidR="00F1212B">
        <w:t>12</w:t>
      </w:r>
      <w:r w:rsidRPr="00297310">
        <w:fldChar w:fldCharType="end"/>
      </w:r>
    </w:p>
    <w:p w14:paraId="4C77B995" w14:textId="16302730"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Part 3 – The Work of the Panel</w:t>
      </w:r>
      <w:r w:rsidRPr="00297310">
        <w:tab/>
      </w:r>
      <w:r w:rsidRPr="00297310">
        <w:fldChar w:fldCharType="begin"/>
      </w:r>
      <w:r w:rsidRPr="00297310">
        <w:instrText xml:space="preserve"> PAGEREF _Toc174632389 \h </w:instrText>
      </w:r>
      <w:r w:rsidRPr="00297310">
        <w:fldChar w:fldCharType="separate"/>
      </w:r>
      <w:r w:rsidR="00F1212B">
        <w:t>19</w:t>
      </w:r>
      <w:r w:rsidRPr="00297310">
        <w:fldChar w:fldCharType="end"/>
      </w:r>
    </w:p>
    <w:p w14:paraId="2817655E" w14:textId="7593A46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Matters</w:t>
      </w:r>
      <w:r w:rsidR="00CB6C95" w:rsidRPr="00297310">
        <w:t>……</w:t>
      </w:r>
      <w:r w:rsidR="00E87039" w:rsidRPr="00297310">
        <w:t>…</w:t>
      </w:r>
      <w:r w:rsidR="00CB6C95" w:rsidRPr="00297310">
        <w:t>..</w:t>
      </w:r>
      <w:r w:rsidRPr="00297310">
        <w:tab/>
      </w:r>
      <w:r w:rsidRPr="00297310">
        <w:fldChar w:fldCharType="begin"/>
      </w:r>
      <w:r w:rsidRPr="00297310">
        <w:instrText xml:space="preserve"> PAGEREF _Toc174632390 \h </w:instrText>
      </w:r>
      <w:r w:rsidRPr="00297310">
        <w:fldChar w:fldCharType="separate"/>
      </w:r>
      <w:r w:rsidR="00F1212B">
        <w:t>19</w:t>
      </w:r>
      <w:r w:rsidRPr="00297310">
        <w:fldChar w:fldCharType="end"/>
      </w:r>
    </w:p>
    <w:p w14:paraId="249891A1" w14:textId="724AA421"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Issues in applications</w:t>
      </w:r>
      <w:r w:rsidRPr="00297310">
        <w:tab/>
      </w:r>
      <w:r w:rsidRPr="00297310">
        <w:fldChar w:fldCharType="begin"/>
      </w:r>
      <w:r w:rsidRPr="00297310">
        <w:instrText xml:space="preserve"> PAGEREF _Toc174632391 \h </w:instrText>
      </w:r>
      <w:r w:rsidRPr="00297310">
        <w:fldChar w:fldCharType="separate"/>
      </w:r>
      <w:r w:rsidR="00F1212B">
        <w:t>21</w:t>
      </w:r>
      <w:r w:rsidRPr="00297310">
        <w:fldChar w:fldCharType="end"/>
      </w:r>
    </w:p>
    <w:p w14:paraId="0C179619" w14:textId="4A0F2758"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Ensuring consistency</w:t>
      </w:r>
      <w:r w:rsidRPr="00297310">
        <w:tab/>
      </w:r>
      <w:r w:rsidRPr="00297310">
        <w:fldChar w:fldCharType="begin"/>
      </w:r>
      <w:r w:rsidRPr="00297310">
        <w:instrText xml:space="preserve"> PAGEREF _Toc174632392 \h </w:instrText>
      </w:r>
      <w:r w:rsidRPr="00297310">
        <w:fldChar w:fldCharType="separate"/>
      </w:r>
      <w:r w:rsidR="00F1212B">
        <w:t>22</w:t>
      </w:r>
      <w:r w:rsidRPr="00297310">
        <w:fldChar w:fldCharType="end"/>
      </w:r>
    </w:p>
    <w:p w14:paraId="7FE5F0EE" w14:textId="3F995B85"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Guidance</w:t>
      </w:r>
      <w:r w:rsidR="00CB6C95" w:rsidRPr="00297310">
        <w:t>…</w:t>
      </w:r>
      <w:r w:rsidR="00E87039" w:rsidRPr="00297310">
        <w:t>…..</w:t>
      </w:r>
      <w:r w:rsidR="00CB6C95" w:rsidRPr="00297310">
        <w:t>.</w:t>
      </w:r>
      <w:r w:rsidR="00CB6C95" w:rsidRPr="00297310">
        <w:tab/>
      </w:r>
      <w:r w:rsidRPr="00297310">
        <w:fldChar w:fldCharType="begin"/>
      </w:r>
      <w:r w:rsidRPr="00297310">
        <w:instrText xml:space="preserve"> PAGEREF _Toc174632393 \h </w:instrText>
      </w:r>
      <w:r w:rsidRPr="00297310">
        <w:fldChar w:fldCharType="separate"/>
      </w:r>
      <w:r w:rsidR="00F1212B">
        <w:t>22</w:t>
      </w:r>
      <w:r w:rsidRPr="00297310">
        <w:fldChar w:fldCharType="end"/>
      </w:r>
    </w:p>
    <w:p w14:paraId="3358CEFA" w14:textId="5D886AA1"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Consultation</w:t>
      </w:r>
      <w:r w:rsidRPr="00297310">
        <w:tab/>
      </w:r>
      <w:r w:rsidRPr="00297310">
        <w:fldChar w:fldCharType="begin"/>
      </w:r>
      <w:r w:rsidRPr="00297310">
        <w:instrText xml:space="preserve"> PAGEREF _Toc174632394 \h </w:instrText>
      </w:r>
      <w:r w:rsidRPr="00297310">
        <w:fldChar w:fldCharType="separate"/>
      </w:r>
      <w:r w:rsidR="00F1212B">
        <w:t>22</w:t>
      </w:r>
      <w:r w:rsidRPr="00297310">
        <w:fldChar w:fldCharType="end"/>
      </w:r>
    </w:p>
    <w:p w14:paraId="710911AD" w14:textId="318B6DF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Legislation</w:t>
      </w:r>
      <w:r w:rsidR="00E87039" w:rsidRPr="00297310">
        <w:t>…</w:t>
      </w:r>
      <w:r w:rsidR="00CB6C95" w:rsidRPr="00297310">
        <w:t>..</w:t>
      </w:r>
      <w:r w:rsidRPr="00297310">
        <w:tab/>
      </w:r>
      <w:r w:rsidRPr="00297310">
        <w:fldChar w:fldCharType="begin"/>
      </w:r>
      <w:r w:rsidRPr="00297310">
        <w:instrText xml:space="preserve"> PAGEREF _Toc174632395 \h </w:instrText>
      </w:r>
      <w:r w:rsidRPr="00297310">
        <w:fldChar w:fldCharType="separate"/>
      </w:r>
      <w:r w:rsidR="00F1212B">
        <w:t>22</w:t>
      </w:r>
      <w:r w:rsidRPr="00297310">
        <w:fldChar w:fldCharType="end"/>
      </w:r>
    </w:p>
    <w:p w14:paraId="03F81748" w14:textId="220752FA"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Judicial review</w:t>
      </w:r>
      <w:r w:rsidRPr="00297310">
        <w:tab/>
      </w:r>
      <w:r w:rsidRPr="00297310">
        <w:fldChar w:fldCharType="begin"/>
      </w:r>
      <w:r w:rsidRPr="00297310">
        <w:instrText xml:space="preserve"> PAGEREF _Toc174632396 \h </w:instrText>
      </w:r>
      <w:r w:rsidRPr="00297310">
        <w:fldChar w:fldCharType="separate"/>
      </w:r>
      <w:r w:rsidR="00F1212B">
        <w:t>22</w:t>
      </w:r>
      <w:r w:rsidRPr="00297310">
        <w:fldChar w:fldCharType="end"/>
      </w:r>
    </w:p>
    <w:p w14:paraId="5FA1DB54" w14:textId="3D244A48"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Part 4 – Performance Reporting</w:t>
      </w:r>
      <w:r w:rsidRPr="00297310">
        <w:tab/>
      </w:r>
      <w:r w:rsidRPr="00297310">
        <w:fldChar w:fldCharType="begin"/>
      </w:r>
      <w:r w:rsidRPr="00297310">
        <w:instrText xml:space="preserve"> PAGEREF _Toc174632397 \h </w:instrText>
      </w:r>
      <w:r w:rsidRPr="00297310">
        <w:fldChar w:fldCharType="separate"/>
      </w:r>
      <w:r w:rsidR="00F1212B">
        <w:t>23</w:t>
      </w:r>
      <w:r w:rsidRPr="00297310">
        <w:fldChar w:fldCharType="end"/>
      </w:r>
    </w:p>
    <w:p w14:paraId="5F680BDE" w14:textId="7463B89A"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Matter reviews</w:t>
      </w:r>
      <w:r w:rsidRPr="00297310">
        <w:tab/>
      </w:r>
      <w:r w:rsidRPr="00297310">
        <w:fldChar w:fldCharType="begin"/>
      </w:r>
      <w:r w:rsidRPr="00297310">
        <w:instrText xml:space="preserve"> PAGEREF _Toc174632398 \h </w:instrText>
      </w:r>
      <w:r w:rsidRPr="00297310">
        <w:fldChar w:fldCharType="separate"/>
      </w:r>
      <w:r w:rsidR="00F1212B">
        <w:t>23</w:t>
      </w:r>
      <w:r w:rsidRPr="00297310">
        <w:fldChar w:fldCharType="end"/>
      </w:r>
    </w:p>
    <w:p w14:paraId="359C2222" w14:textId="1B324097"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Industry liaison</w:t>
      </w:r>
      <w:r w:rsidRPr="00297310">
        <w:tab/>
      </w:r>
      <w:r w:rsidRPr="00297310">
        <w:fldChar w:fldCharType="begin"/>
      </w:r>
      <w:r w:rsidRPr="00297310">
        <w:instrText xml:space="preserve"> PAGEREF _Toc174632399 \h </w:instrText>
      </w:r>
      <w:r w:rsidRPr="00297310">
        <w:fldChar w:fldCharType="separate"/>
      </w:r>
      <w:r w:rsidR="00F1212B">
        <w:t>23</w:t>
      </w:r>
      <w:r w:rsidRPr="00297310">
        <w:fldChar w:fldCharType="end"/>
      </w:r>
    </w:p>
    <w:p w14:paraId="41D64E10" w14:textId="6946709C"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Referrals to ASIC</w:t>
      </w:r>
      <w:r w:rsidRPr="00297310">
        <w:tab/>
      </w:r>
      <w:r w:rsidRPr="00297310">
        <w:fldChar w:fldCharType="begin"/>
      </w:r>
      <w:r w:rsidRPr="00297310">
        <w:instrText xml:space="preserve"> PAGEREF _Toc174632400 \h </w:instrText>
      </w:r>
      <w:r w:rsidRPr="00297310">
        <w:fldChar w:fldCharType="separate"/>
      </w:r>
      <w:r w:rsidR="00F1212B">
        <w:t>23</w:t>
      </w:r>
      <w:r w:rsidRPr="00297310">
        <w:fldChar w:fldCharType="end"/>
      </w:r>
    </w:p>
    <w:p w14:paraId="557DA23D" w14:textId="13111C2D"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Website</w:t>
      </w:r>
      <w:r w:rsidR="00CB6C95" w:rsidRPr="00297310">
        <w:t>…..</w:t>
      </w:r>
      <w:r w:rsidRPr="00297310">
        <w:tab/>
      </w:r>
      <w:r w:rsidRPr="00297310">
        <w:fldChar w:fldCharType="begin"/>
      </w:r>
      <w:r w:rsidRPr="00297310">
        <w:instrText xml:space="preserve"> PAGEREF _Toc174632401 \h </w:instrText>
      </w:r>
      <w:r w:rsidRPr="00297310">
        <w:fldChar w:fldCharType="separate"/>
      </w:r>
      <w:r w:rsidR="00F1212B">
        <w:t>24</w:t>
      </w:r>
      <w:r w:rsidRPr="00297310">
        <w:fldChar w:fldCharType="end"/>
      </w:r>
    </w:p>
    <w:p w14:paraId="4FC5E39D" w14:textId="52F7EF7F"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Announcements and media releases</w:t>
      </w:r>
      <w:r w:rsidRPr="00297310">
        <w:tab/>
      </w:r>
      <w:r w:rsidRPr="00297310">
        <w:fldChar w:fldCharType="begin"/>
      </w:r>
      <w:r w:rsidRPr="00297310">
        <w:instrText xml:space="preserve"> PAGEREF _Toc174632402 \h </w:instrText>
      </w:r>
      <w:r w:rsidRPr="00297310">
        <w:fldChar w:fldCharType="separate"/>
      </w:r>
      <w:r w:rsidR="00F1212B">
        <w:t>24</w:t>
      </w:r>
      <w:r w:rsidRPr="00297310">
        <w:fldChar w:fldCharType="end"/>
      </w:r>
    </w:p>
    <w:p w14:paraId="75B9D5A0" w14:textId="3147F822"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Corporate governance</w:t>
      </w:r>
      <w:r w:rsidRPr="00297310">
        <w:tab/>
      </w:r>
      <w:r w:rsidRPr="00297310">
        <w:fldChar w:fldCharType="begin"/>
      </w:r>
      <w:r w:rsidRPr="00297310">
        <w:instrText xml:space="preserve"> PAGEREF _Toc174632403 \h </w:instrText>
      </w:r>
      <w:r w:rsidRPr="00297310">
        <w:fldChar w:fldCharType="separate"/>
      </w:r>
      <w:r w:rsidR="00F1212B">
        <w:t>24</w:t>
      </w:r>
      <w:r w:rsidRPr="00297310">
        <w:fldChar w:fldCharType="end"/>
      </w:r>
    </w:p>
    <w:p w14:paraId="754541EC" w14:textId="7424E23B"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Outcome and output information</w:t>
      </w:r>
      <w:r w:rsidRPr="00297310">
        <w:tab/>
      </w:r>
      <w:r w:rsidRPr="00297310">
        <w:fldChar w:fldCharType="begin"/>
      </w:r>
      <w:r w:rsidRPr="00297310">
        <w:instrText xml:space="preserve"> PAGEREF _Toc174632404 \h </w:instrText>
      </w:r>
      <w:r w:rsidRPr="00297310">
        <w:fldChar w:fldCharType="separate"/>
      </w:r>
      <w:r w:rsidR="00F1212B">
        <w:t>24</w:t>
      </w:r>
      <w:r w:rsidRPr="00297310">
        <w:fldChar w:fldCharType="end"/>
      </w:r>
    </w:p>
    <w:p w14:paraId="7CFF0307" w14:textId="393292F2"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Financial information</w:t>
      </w:r>
      <w:r w:rsidRPr="00297310">
        <w:tab/>
      </w:r>
      <w:r w:rsidRPr="00297310">
        <w:fldChar w:fldCharType="begin"/>
      </w:r>
      <w:r w:rsidRPr="00297310">
        <w:instrText xml:space="preserve"> PAGEREF _Toc174632405 \h </w:instrText>
      </w:r>
      <w:r w:rsidRPr="00297310">
        <w:fldChar w:fldCharType="separate"/>
      </w:r>
      <w:r w:rsidR="00F1212B">
        <w:t>26</w:t>
      </w:r>
      <w:r w:rsidRPr="00297310">
        <w:fldChar w:fldCharType="end"/>
      </w:r>
    </w:p>
    <w:p w14:paraId="5E240CF7" w14:textId="72A2CAB9" w:rsidR="002D2C29" w:rsidRPr="00297310" w:rsidRDefault="002D2C29" w:rsidP="00B2262A">
      <w:pPr>
        <w:pStyle w:val="TOC1"/>
        <w:keepNext/>
        <w:rPr>
          <w:rFonts w:asciiTheme="minorHAnsi" w:eastAsiaTheme="minorEastAsia" w:hAnsiTheme="minorHAnsi" w:cstheme="minorBidi"/>
          <w:b w:val="0"/>
          <w:caps w:val="0"/>
          <w:color w:val="auto"/>
          <w:kern w:val="2"/>
          <w:sz w:val="24"/>
          <w:szCs w:val="24"/>
          <w:lang w:eastAsia="en-AU"/>
          <w14:ligatures w14:val="standardContextual"/>
        </w:rPr>
      </w:pPr>
      <w:r w:rsidRPr="00297310">
        <w:lastRenderedPageBreak/>
        <w:t>Part 5 – Management and Accountability</w:t>
      </w:r>
      <w:r w:rsidRPr="00297310">
        <w:tab/>
      </w:r>
      <w:r w:rsidRPr="00297310">
        <w:fldChar w:fldCharType="begin"/>
      </w:r>
      <w:r w:rsidRPr="00297310">
        <w:instrText xml:space="preserve"> PAGEREF _Toc174632406 \h </w:instrText>
      </w:r>
      <w:r w:rsidRPr="00297310">
        <w:fldChar w:fldCharType="separate"/>
      </w:r>
      <w:r w:rsidR="00F1212B">
        <w:t>29</w:t>
      </w:r>
      <w:r w:rsidRPr="00297310">
        <w:fldChar w:fldCharType="end"/>
      </w:r>
    </w:p>
    <w:p w14:paraId="28124F73" w14:textId="6903177A"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External scrutiny</w:t>
      </w:r>
      <w:r w:rsidRPr="00297310">
        <w:tab/>
      </w:r>
      <w:r w:rsidRPr="00297310">
        <w:fldChar w:fldCharType="begin"/>
      </w:r>
      <w:r w:rsidRPr="00297310">
        <w:instrText xml:space="preserve"> PAGEREF _Toc174632407 \h </w:instrText>
      </w:r>
      <w:r w:rsidRPr="00297310">
        <w:fldChar w:fldCharType="separate"/>
      </w:r>
      <w:r w:rsidR="00F1212B">
        <w:t>29</w:t>
      </w:r>
      <w:r w:rsidRPr="00297310">
        <w:fldChar w:fldCharType="end"/>
      </w:r>
    </w:p>
    <w:p w14:paraId="617EC1F2" w14:textId="7AFB66DD"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Management of human resources</w:t>
      </w:r>
      <w:r w:rsidRPr="00297310">
        <w:tab/>
      </w:r>
      <w:r w:rsidRPr="00297310">
        <w:fldChar w:fldCharType="begin"/>
      </w:r>
      <w:r w:rsidRPr="00297310">
        <w:instrText xml:space="preserve"> PAGEREF _Toc174632408 \h </w:instrText>
      </w:r>
      <w:r w:rsidRPr="00297310">
        <w:fldChar w:fldCharType="separate"/>
      </w:r>
      <w:r w:rsidR="00F1212B">
        <w:t>29</w:t>
      </w:r>
      <w:r w:rsidRPr="00297310">
        <w:fldChar w:fldCharType="end"/>
      </w:r>
    </w:p>
    <w:p w14:paraId="56E35294" w14:textId="13FA8C22"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Purchasing</w:t>
      </w:r>
      <w:r w:rsidRPr="00297310">
        <w:tab/>
      </w:r>
      <w:r w:rsidRPr="00297310">
        <w:fldChar w:fldCharType="begin"/>
      </w:r>
      <w:r w:rsidRPr="00297310">
        <w:instrText xml:space="preserve"> PAGEREF _Toc174632409 \h </w:instrText>
      </w:r>
      <w:r w:rsidRPr="00297310">
        <w:fldChar w:fldCharType="separate"/>
      </w:r>
      <w:r w:rsidR="00F1212B">
        <w:t>32</w:t>
      </w:r>
      <w:r w:rsidRPr="00297310">
        <w:fldChar w:fldCharType="end"/>
      </w:r>
    </w:p>
    <w:p w14:paraId="69E3E6A8" w14:textId="326BDB18"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Consultants</w:t>
      </w:r>
      <w:r w:rsidRPr="00297310">
        <w:tab/>
      </w:r>
      <w:r w:rsidRPr="00297310">
        <w:fldChar w:fldCharType="begin"/>
      </w:r>
      <w:r w:rsidRPr="00297310">
        <w:instrText xml:space="preserve"> PAGEREF _Toc174632410 \h </w:instrText>
      </w:r>
      <w:r w:rsidRPr="00297310">
        <w:fldChar w:fldCharType="separate"/>
      </w:r>
      <w:r w:rsidR="00F1212B">
        <w:t>32</w:t>
      </w:r>
      <w:r w:rsidRPr="00297310">
        <w:fldChar w:fldCharType="end"/>
      </w:r>
    </w:p>
    <w:p w14:paraId="6714B4A3" w14:textId="7A941D14"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Small business</w:t>
      </w:r>
      <w:r w:rsidRPr="00297310">
        <w:tab/>
      </w:r>
      <w:r w:rsidRPr="00297310">
        <w:fldChar w:fldCharType="begin"/>
      </w:r>
      <w:r w:rsidRPr="00297310">
        <w:instrText xml:space="preserve"> PAGEREF _Toc174632411 \h </w:instrText>
      </w:r>
      <w:r w:rsidRPr="00297310">
        <w:fldChar w:fldCharType="separate"/>
      </w:r>
      <w:r w:rsidR="00F1212B">
        <w:t>32</w:t>
      </w:r>
      <w:r w:rsidRPr="00297310">
        <w:fldChar w:fldCharType="end"/>
      </w:r>
    </w:p>
    <w:p w14:paraId="2062C9DA" w14:textId="0A373873"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Discretionary grants</w:t>
      </w:r>
      <w:r w:rsidRPr="00297310">
        <w:tab/>
      </w:r>
      <w:r w:rsidRPr="00297310">
        <w:fldChar w:fldCharType="begin"/>
      </w:r>
      <w:r w:rsidRPr="00297310">
        <w:instrText xml:space="preserve"> PAGEREF _Toc174632412 \h </w:instrText>
      </w:r>
      <w:r w:rsidRPr="00297310">
        <w:fldChar w:fldCharType="separate"/>
      </w:r>
      <w:r w:rsidR="00F1212B">
        <w:t>32</w:t>
      </w:r>
      <w:r w:rsidRPr="00297310">
        <w:fldChar w:fldCharType="end"/>
      </w:r>
    </w:p>
    <w:p w14:paraId="08E6749C" w14:textId="76B08AF7"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Advertising and market research</w:t>
      </w:r>
      <w:r w:rsidRPr="00297310">
        <w:tab/>
      </w:r>
      <w:r w:rsidRPr="00297310">
        <w:fldChar w:fldCharType="begin"/>
      </w:r>
      <w:r w:rsidRPr="00297310">
        <w:instrText xml:space="preserve"> PAGEREF _Toc174632413 \h </w:instrText>
      </w:r>
      <w:r w:rsidRPr="00297310">
        <w:fldChar w:fldCharType="separate"/>
      </w:r>
      <w:r w:rsidR="00F1212B">
        <w:t>32</w:t>
      </w:r>
      <w:r w:rsidRPr="00297310">
        <w:fldChar w:fldCharType="end"/>
      </w:r>
    </w:p>
    <w:p w14:paraId="0C1431EF" w14:textId="6468FDB6"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Environmental performance</w:t>
      </w:r>
      <w:r w:rsidRPr="00297310">
        <w:tab/>
      </w:r>
      <w:r w:rsidRPr="00297310">
        <w:fldChar w:fldCharType="begin"/>
      </w:r>
      <w:r w:rsidRPr="00297310">
        <w:instrText xml:space="preserve"> PAGEREF _Toc174632414 \h </w:instrText>
      </w:r>
      <w:r w:rsidRPr="00297310">
        <w:fldChar w:fldCharType="separate"/>
      </w:r>
      <w:r w:rsidR="00F1212B">
        <w:t>32</w:t>
      </w:r>
      <w:r w:rsidRPr="00297310">
        <w:fldChar w:fldCharType="end"/>
      </w:r>
    </w:p>
    <w:p w14:paraId="7DCC4635" w14:textId="0C53D120"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Freedom of information</w:t>
      </w:r>
      <w:r w:rsidRPr="00297310">
        <w:tab/>
      </w:r>
      <w:r w:rsidRPr="00297310">
        <w:fldChar w:fldCharType="begin"/>
      </w:r>
      <w:r w:rsidRPr="00297310">
        <w:instrText xml:space="preserve"> PAGEREF _Toc174632415 \h </w:instrText>
      </w:r>
      <w:r w:rsidRPr="00297310">
        <w:fldChar w:fldCharType="separate"/>
      </w:r>
      <w:r w:rsidR="00F1212B">
        <w:t>33</w:t>
      </w:r>
      <w:r w:rsidRPr="00297310">
        <w:fldChar w:fldCharType="end"/>
      </w:r>
    </w:p>
    <w:p w14:paraId="20AE5BC9" w14:textId="061A41DD" w:rsidR="002D2C29" w:rsidRPr="00297310" w:rsidRDefault="002D2C29">
      <w:pPr>
        <w:pStyle w:val="TOC2"/>
        <w:rPr>
          <w:rFonts w:asciiTheme="minorHAnsi" w:eastAsiaTheme="minorEastAsia" w:hAnsiTheme="minorHAnsi" w:cstheme="minorBidi"/>
          <w:color w:val="auto"/>
          <w:kern w:val="2"/>
          <w:sz w:val="24"/>
          <w:szCs w:val="24"/>
          <w:lang w:eastAsia="en-AU"/>
          <w14:ligatures w14:val="standardContextual"/>
        </w:rPr>
      </w:pPr>
      <w:r w:rsidRPr="00297310">
        <w:t>Regulatory Impact Statements</w:t>
      </w:r>
      <w:r w:rsidRPr="00297310">
        <w:tab/>
      </w:r>
      <w:r w:rsidRPr="00297310">
        <w:fldChar w:fldCharType="begin"/>
      </w:r>
      <w:r w:rsidRPr="00297310">
        <w:instrText xml:space="preserve"> PAGEREF _Toc174632416 \h </w:instrText>
      </w:r>
      <w:r w:rsidRPr="00297310">
        <w:fldChar w:fldCharType="separate"/>
      </w:r>
      <w:r w:rsidR="00F1212B">
        <w:t>33</w:t>
      </w:r>
      <w:r w:rsidRPr="00297310">
        <w:fldChar w:fldCharType="end"/>
      </w:r>
    </w:p>
    <w:p w14:paraId="5C0403A9" w14:textId="74C7F0FD"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Appendix 1 – Panel members</w:t>
      </w:r>
      <w:r w:rsidRPr="00297310">
        <w:tab/>
      </w:r>
      <w:r w:rsidRPr="00297310">
        <w:fldChar w:fldCharType="begin"/>
      </w:r>
      <w:r w:rsidRPr="00297310">
        <w:instrText xml:space="preserve"> PAGEREF _Toc174632417 \h </w:instrText>
      </w:r>
      <w:r w:rsidRPr="00297310">
        <w:fldChar w:fldCharType="separate"/>
      </w:r>
      <w:r w:rsidR="00F1212B">
        <w:t>34</w:t>
      </w:r>
      <w:r w:rsidRPr="00297310">
        <w:fldChar w:fldCharType="end"/>
      </w:r>
    </w:p>
    <w:p w14:paraId="210D5BD7" w14:textId="690755D0"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Appendix 2 – Sub</w:t>
      </w:r>
      <w:r w:rsidR="008941F8">
        <w:noBreakHyphen/>
      </w:r>
      <w:r w:rsidRPr="00297310">
        <w:t>committee members</w:t>
      </w:r>
      <w:r w:rsidRPr="00297310">
        <w:tab/>
      </w:r>
      <w:r w:rsidRPr="00297310">
        <w:fldChar w:fldCharType="begin"/>
      </w:r>
      <w:r w:rsidRPr="00297310">
        <w:instrText xml:space="preserve"> PAGEREF _Toc174632418 \h </w:instrText>
      </w:r>
      <w:r w:rsidRPr="00297310">
        <w:fldChar w:fldCharType="separate"/>
      </w:r>
      <w:r w:rsidR="00F1212B">
        <w:t>36</w:t>
      </w:r>
      <w:r w:rsidRPr="00297310">
        <w:fldChar w:fldCharType="end"/>
      </w:r>
    </w:p>
    <w:p w14:paraId="1888FABC" w14:textId="52F27A32"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Appendix 3 – Panel Applications</w:t>
      </w:r>
      <w:r w:rsidRPr="00297310">
        <w:tab/>
      </w:r>
      <w:r w:rsidRPr="00297310">
        <w:fldChar w:fldCharType="begin"/>
      </w:r>
      <w:r w:rsidRPr="00297310">
        <w:instrText xml:space="preserve"> PAGEREF _Toc174632419 \h </w:instrText>
      </w:r>
      <w:r w:rsidRPr="00297310">
        <w:fldChar w:fldCharType="separate"/>
      </w:r>
      <w:r w:rsidR="00F1212B">
        <w:t>37</w:t>
      </w:r>
      <w:r w:rsidRPr="00297310">
        <w:fldChar w:fldCharType="end"/>
      </w:r>
    </w:p>
    <w:p w14:paraId="5A07B78A" w14:textId="2142568C"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t>Appendix 4 – Abbreviations and acronyms</w:t>
      </w:r>
      <w:r w:rsidRPr="00297310">
        <w:tab/>
      </w:r>
      <w:r w:rsidRPr="00297310">
        <w:fldChar w:fldCharType="begin"/>
      </w:r>
      <w:r w:rsidRPr="00297310">
        <w:instrText xml:space="preserve"> PAGEREF _Toc174632420 \h </w:instrText>
      </w:r>
      <w:r w:rsidRPr="00297310">
        <w:fldChar w:fldCharType="separate"/>
      </w:r>
      <w:r w:rsidR="00F1212B">
        <w:t>40</w:t>
      </w:r>
      <w:r w:rsidRPr="00297310">
        <w:fldChar w:fldCharType="end"/>
      </w:r>
    </w:p>
    <w:p w14:paraId="751920A4" w14:textId="373ECB18" w:rsidR="002D2C29" w:rsidRPr="00297310" w:rsidRDefault="002D2C29">
      <w:pPr>
        <w:pStyle w:val="TOC1"/>
        <w:rPr>
          <w:rFonts w:asciiTheme="minorHAnsi" w:eastAsiaTheme="minorEastAsia" w:hAnsiTheme="minorHAnsi" w:cstheme="minorBidi"/>
          <w:b w:val="0"/>
          <w:caps w:val="0"/>
          <w:color w:val="auto"/>
          <w:kern w:val="2"/>
          <w:sz w:val="24"/>
          <w:szCs w:val="24"/>
          <w:lang w:eastAsia="en-AU"/>
          <w14:ligatures w14:val="standardContextual"/>
        </w:rPr>
      </w:pPr>
      <w:r w:rsidRPr="00297310">
        <w:rPr>
          <w:color w:val="1F497D" w:themeColor="text2"/>
        </w:rPr>
        <w:t>Index</w:t>
      </w:r>
      <w:r w:rsidRPr="00297310">
        <w:tab/>
      </w:r>
      <w:r w:rsidRPr="00297310">
        <w:fldChar w:fldCharType="begin"/>
      </w:r>
      <w:r w:rsidRPr="00297310">
        <w:instrText xml:space="preserve"> PAGEREF _Toc174632421 \h </w:instrText>
      </w:r>
      <w:r w:rsidRPr="00297310">
        <w:fldChar w:fldCharType="separate"/>
      </w:r>
      <w:r w:rsidR="00F1212B">
        <w:t>41</w:t>
      </w:r>
      <w:r w:rsidRPr="00297310">
        <w:fldChar w:fldCharType="end"/>
      </w:r>
    </w:p>
    <w:p w14:paraId="571C68E8" w14:textId="6EFB18AD" w:rsidR="00102C9C" w:rsidRDefault="00C21DF5" w:rsidP="00102C9C">
      <w:pPr>
        <w:pStyle w:val="SingleParagraph"/>
        <w:rPr>
          <w:rFonts w:eastAsia="Batang"/>
        </w:rPr>
      </w:pPr>
      <w:r w:rsidRPr="00297310">
        <w:rPr>
          <w:rFonts w:eastAsia="Batang"/>
        </w:rPr>
        <w:fldChar w:fldCharType="end"/>
      </w:r>
    </w:p>
    <w:p w14:paraId="31EE9E3C" w14:textId="77777777" w:rsidR="00102C9C" w:rsidRDefault="00102C9C">
      <w:pPr>
        <w:spacing w:after="0" w:line="240" w:lineRule="auto"/>
        <w:rPr>
          <w:rFonts w:eastAsia="Batang"/>
        </w:rPr>
      </w:pPr>
      <w:r>
        <w:rPr>
          <w:rFonts w:eastAsia="Batang"/>
        </w:rPr>
        <w:br w:type="page"/>
      </w:r>
    </w:p>
    <w:p w14:paraId="571C68EA" w14:textId="77777777" w:rsidR="006555DE" w:rsidRPr="00AE31C6" w:rsidRDefault="006555DE" w:rsidP="00834C81">
      <w:pPr>
        <w:pStyle w:val="ContentsHeading"/>
      </w:pPr>
      <w:bookmarkStart w:id="20" w:name="_Toc174632372"/>
      <w:r w:rsidRPr="00AE31C6">
        <w:lastRenderedPageBreak/>
        <w:t xml:space="preserve">List of </w:t>
      </w:r>
      <w:r w:rsidRPr="00834C81">
        <w:t>tables</w:t>
      </w:r>
      <w:bookmarkEnd w:id="20"/>
    </w:p>
    <w:p w14:paraId="7378532B" w14:textId="195C8B49" w:rsidR="0070696F" w:rsidRPr="00FE6D05" w:rsidRDefault="00D04E8C" w:rsidP="002D7047">
      <w:pPr>
        <w:pStyle w:val="TOC2"/>
        <w:rPr>
          <w:rFonts w:asciiTheme="minorHAnsi" w:eastAsiaTheme="minorEastAsia" w:hAnsiTheme="minorHAnsi" w:cstheme="minorBidi"/>
          <w:color w:val="auto"/>
          <w:kern w:val="0"/>
          <w:sz w:val="22"/>
          <w:szCs w:val="22"/>
          <w:lang w:eastAsia="en-AU"/>
        </w:rPr>
      </w:pPr>
      <w:r w:rsidRPr="00FE6D05">
        <w:fldChar w:fldCharType="begin"/>
      </w:r>
      <w:r w:rsidR="006555DE" w:rsidRPr="00FE6D05">
        <w:instrText xml:space="preserve"> TOC \h \z \t "Table Main Heading,2" </w:instrText>
      </w:r>
      <w:r w:rsidRPr="00FE6D05">
        <w:fldChar w:fldCharType="separate"/>
      </w:r>
      <w:hyperlink w:anchor="_Toc146790808" w:history="1">
        <w:r w:rsidR="0070696F" w:rsidRPr="00FE6D05">
          <w:rPr>
            <w:rStyle w:val="Hyperlink"/>
          </w:rPr>
          <w:t xml:space="preserve">Table 1: </w:t>
        </w:r>
        <w:r w:rsidR="002D7047" w:rsidRPr="00FE6D05">
          <w:rPr>
            <w:rStyle w:val="Hyperlink"/>
          </w:rPr>
          <w:tab/>
        </w:r>
        <w:r w:rsidR="0070696F" w:rsidRPr="00FE6D05">
          <w:rPr>
            <w:rStyle w:val="Hyperlink"/>
          </w:rPr>
          <w:t>The Panel</w:t>
        </w:r>
        <w:r w:rsidR="008941F8">
          <w:rPr>
            <w:rStyle w:val="Hyperlink"/>
          </w:rPr>
          <w:t>’</w:t>
        </w:r>
        <w:r w:rsidR="0070696F" w:rsidRPr="00FE6D05">
          <w:rPr>
            <w:rStyle w:val="Hyperlink"/>
          </w:rPr>
          <w:t>s dispute resolution functions</w:t>
        </w:r>
        <w:r w:rsidR="0070696F" w:rsidRPr="00FE6D05">
          <w:rPr>
            <w:webHidden/>
          </w:rPr>
          <w:tab/>
        </w:r>
        <w:r w:rsidR="0070696F" w:rsidRPr="00FE6D05">
          <w:rPr>
            <w:webHidden/>
          </w:rPr>
          <w:fldChar w:fldCharType="begin"/>
        </w:r>
        <w:r w:rsidR="0070696F" w:rsidRPr="00FE6D05">
          <w:rPr>
            <w:webHidden/>
          </w:rPr>
          <w:instrText xml:space="preserve"> PAGEREF _Toc146790808 \h </w:instrText>
        </w:r>
        <w:r w:rsidR="0070696F" w:rsidRPr="00FE6D05">
          <w:rPr>
            <w:webHidden/>
          </w:rPr>
        </w:r>
        <w:r w:rsidR="0070696F" w:rsidRPr="00FE6D05">
          <w:rPr>
            <w:webHidden/>
          </w:rPr>
          <w:fldChar w:fldCharType="separate"/>
        </w:r>
        <w:r w:rsidR="00F1212B">
          <w:rPr>
            <w:webHidden/>
          </w:rPr>
          <w:t>7</w:t>
        </w:r>
        <w:r w:rsidR="0070696F" w:rsidRPr="00FE6D05">
          <w:rPr>
            <w:webHidden/>
          </w:rPr>
          <w:fldChar w:fldCharType="end"/>
        </w:r>
      </w:hyperlink>
    </w:p>
    <w:p w14:paraId="6A1B845E" w14:textId="67D5D033"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09" w:history="1">
        <w:r w:rsidR="0070696F" w:rsidRPr="00FE6D05">
          <w:rPr>
            <w:rStyle w:val="Hyperlink"/>
          </w:rPr>
          <w:t xml:space="preserve">Table 2: </w:t>
        </w:r>
        <w:r w:rsidR="002D7047" w:rsidRPr="00FE6D05">
          <w:rPr>
            <w:rStyle w:val="Hyperlink"/>
          </w:rPr>
          <w:tab/>
        </w:r>
        <w:r w:rsidR="0070696F" w:rsidRPr="00FE6D05">
          <w:rPr>
            <w:rStyle w:val="Hyperlink"/>
          </w:rPr>
          <w:t>Appointment of Panel members during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_Toc146790809 \h </w:instrText>
        </w:r>
        <w:r w:rsidR="0070696F" w:rsidRPr="00FE6D05">
          <w:rPr>
            <w:webHidden/>
          </w:rPr>
        </w:r>
        <w:r w:rsidR="0070696F" w:rsidRPr="00FE6D05">
          <w:rPr>
            <w:webHidden/>
          </w:rPr>
          <w:fldChar w:fldCharType="separate"/>
        </w:r>
        <w:r w:rsidR="00F1212B">
          <w:rPr>
            <w:webHidden/>
          </w:rPr>
          <w:t>12</w:t>
        </w:r>
        <w:r w:rsidR="0070696F" w:rsidRPr="00FE6D05">
          <w:rPr>
            <w:webHidden/>
          </w:rPr>
          <w:fldChar w:fldCharType="end"/>
        </w:r>
      </w:hyperlink>
    </w:p>
    <w:p w14:paraId="3CB1EBC8" w14:textId="1325FEF9"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0" w:history="1">
        <w:r w:rsidR="0070696F" w:rsidRPr="00FE6D05">
          <w:rPr>
            <w:rStyle w:val="Hyperlink"/>
          </w:rPr>
          <w:t xml:space="preserve">Table 3: </w:t>
        </w:r>
        <w:r w:rsidR="002D7047" w:rsidRPr="00FE6D05">
          <w:rPr>
            <w:rStyle w:val="Hyperlink"/>
          </w:rPr>
          <w:tab/>
        </w:r>
        <w:r w:rsidR="0070696F" w:rsidRPr="00FE6D05">
          <w:rPr>
            <w:rStyle w:val="Hyperlink"/>
          </w:rPr>
          <w:t>Outcome of applications received by the Panel,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_Toc146790810 \h </w:instrText>
        </w:r>
        <w:r w:rsidR="0070696F" w:rsidRPr="00FE6D05">
          <w:rPr>
            <w:webHidden/>
          </w:rPr>
        </w:r>
        <w:r w:rsidR="0070696F" w:rsidRPr="00FE6D05">
          <w:rPr>
            <w:webHidden/>
          </w:rPr>
          <w:fldChar w:fldCharType="separate"/>
        </w:r>
        <w:r w:rsidR="00F1212B">
          <w:rPr>
            <w:webHidden/>
          </w:rPr>
          <w:t>20</w:t>
        </w:r>
        <w:r w:rsidR="0070696F" w:rsidRPr="00FE6D05">
          <w:rPr>
            <w:webHidden/>
          </w:rPr>
          <w:fldChar w:fldCharType="end"/>
        </w:r>
      </w:hyperlink>
    </w:p>
    <w:p w14:paraId="10AF2523" w14:textId="7EE635FA"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1" w:history="1">
        <w:r w:rsidR="0070696F" w:rsidRPr="00FE6D05">
          <w:rPr>
            <w:rStyle w:val="Hyperlink"/>
          </w:rPr>
          <w:t xml:space="preserve">Table 4: </w:t>
        </w:r>
        <w:r w:rsidR="002D7047" w:rsidRPr="00FE6D05">
          <w:rPr>
            <w:rStyle w:val="Hyperlink"/>
          </w:rPr>
          <w:tab/>
        </w:r>
        <w:r w:rsidR="0070696F" w:rsidRPr="00FE6D05">
          <w:rPr>
            <w:rStyle w:val="Hyperlink"/>
          </w:rPr>
          <w:t>Time to decision by the Panel,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_Toc146790811 \h </w:instrText>
        </w:r>
        <w:r w:rsidR="0070696F" w:rsidRPr="00FE6D05">
          <w:rPr>
            <w:webHidden/>
          </w:rPr>
        </w:r>
        <w:r w:rsidR="0070696F" w:rsidRPr="00FE6D05">
          <w:rPr>
            <w:webHidden/>
          </w:rPr>
          <w:fldChar w:fldCharType="separate"/>
        </w:r>
        <w:r w:rsidR="00F1212B">
          <w:rPr>
            <w:webHidden/>
          </w:rPr>
          <w:t>21</w:t>
        </w:r>
        <w:r w:rsidR="0070696F" w:rsidRPr="00FE6D05">
          <w:rPr>
            <w:webHidden/>
          </w:rPr>
          <w:fldChar w:fldCharType="end"/>
        </w:r>
      </w:hyperlink>
    </w:p>
    <w:p w14:paraId="2A305C26" w14:textId="1D0A4EA3"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2" w:history="1">
        <w:r w:rsidR="0070696F" w:rsidRPr="00FE6D05">
          <w:rPr>
            <w:rStyle w:val="Hyperlink"/>
          </w:rPr>
          <w:t xml:space="preserve">Table 5: </w:t>
        </w:r>
        <w:r w:rsidR="002D7047" w:rsidRPr="00FE6D05">
          <w:rPr>
            <w:rStyle w:val="Hyperlink"/>
          </w:rPr>
          <w:tab/>
        </w:r>
        <w:r w:rsidR="0070696F" w:rsidRPr="00FE6D05">
          <w:rPr>
            <w:rStyle w:val="Hyperlink"/>
          </w:rPr>
          <w:t>Issues raised in applications,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_Toc146790812 \h </w:instrText>
        </w:r>
        <w:r w:rsidR="0070696F" w:rsidRPr="00FE6D05">
          <w:rPr>
            <w:webHidden/>
          </w:rPr>
        </w:r>
        <w:r w:rsidR="0070696F" w:rsidRPr="00FE6D05">
          <w:rPr>
            <w:webHidden/>
          </w:rPr>
          <w:fldChar w:fldCharType="separate"/>
        </w:r>
        <w:r w:rsidR="00F1212B">
          <w:rPr>
            <w:webHidden/>
          </w:rPr>
          <w:t>21</w:t>
        </w:r>
        <w:r w:rsidR="0070696F" w:rsidRPr="00FE6D05">
          <w:rPr>
            <w:webHidden/>
          </w:rPr>
          <w:fldChar w:fldCharType="end"/>
        </w:r>
      </w:hyperlink>
    </w:p>
    <w:p w14:paraId="27C1B9A0" w14:textId="159E0FA3"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4" w:history="1">
        <w:r w:rsidR="0070696F" w:rsidRPr="00FE6D05">
          <w:rPr>
            <w:rStyle w:val="Hyperlink"/>
          </w:rPr>
          <w:t>Table </w:t>
        </w:r>
        <w:r w:rsidR="002D2C29" w:rsidRPr="00FE6D05">
          <w:rPr>
            <w:rStyle w:val="Hyperlink"/>
          </w:rPr>
          <w:t>6</w:t>
        </w:r>
        <w:r w:rsidR="0070696F" w:rsidRPr="00FE6D05">
          <w:rPr>
            <w:rStyle w:val="Hyperlink"/>
          </w:rPr>
          <w:t xml:space="preserve">: </w:t>
        </w:r>
        <w:r w:rsidR="002D7047" w:rsidRPr="00FE6D05">
          <w:rPr>
            <w:rStyle w:val="Hyperlink"/>
          </w:rPr>
          <w:tab/>
        </w:r>
        <w:r w:rsidR="0070696F" w:rsidRPr="00FE6D05">
          <w:rPr>
            <w:rStyle w:val="Hyperlink"/>
          </w:rPr>
          <w:t>Summary resource statement</w:t>
        </w:r>
        <w:r w:rsidR="0070696F" w:rsidRPr="00FE6D05">
          <w:rPr>
            <w:webHidden/>
          </w:rPr>
          <w:tab/>
        </w:r>
        <w:r w:rsidR="0070696F" w:rsidRPr="00FE6D05">
          <w:rPr>
            <w:webHidden/>
          </w:rPr>
          <w:fldChar w:fldCharType="begin"/>
        </w:r>
        <w:r w:rsidR="0070696F" w:rsidRPr="00FE6D05">
          <w:rPr>
            <w:webHidden/>
          </w:rPr>
          <w:instrText xml:space="preserve"> PAGEREF _Toc146790814 \h </w:instrText>
        </w:r>
        <w:r w:rsidR="0070696F" w:rsidRPr="00FE6D05">
          <w:rPr>
            <w:webHidden/>
          </w:rPr>
        </w:r>
        <w:r w:rsidR="0070696F" w:rsidRPr="00FE6D05">
          <w:rPr>
            <w:webHidden/>
          </w:rPr>
          <w:fldChar w:fldCharType="separate"/>
        </w:r>
        <w:r w:rsidR="00F1212B">
          <w:rPr>
            <w:webHidden/>
          </w:rPr>
          <w:t>25</w:t>
        </w:r>
        <w:r w:rsidR="0070696F" w:rsidRPr="00FE6D05">
          <w:rPr>
            <w:webHidden/>
          </w:rPr>
          <w:fldChar w:fldCharType="end"/>
        </w:r>
      </w:hyperlink>
    </w:p>
    <w:p w14:paraId="4DFB007F" w14:textId="59BB2EFE"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5" w:history="1">
        <w:r w:rsidR="0070696F" w:rsidRPr="00FE6D05">
          <w:rPr>
            <w:rStyle w:val="Hyperlink"/>
          </w:rPr>
          <w:t>Table </w:t>
        </w:r>
        <w:r w:rsidR="002D2C29" w:rsidRPr="00FE6D05">
          <w:rPr>
            <w:rStyle w:val="Hyperlink"/>
          </w:rPr>
          <w:t>7</w:t>
        </w:r>
        <w:r w:rsidR="0070696F" w:rsidRPr="00FE6D05">
          <w:rPr>
            <w:rStyle w:val="Hyperlink"/>
          </w:rPr>
          <w:t xml:space="preserve">: </w:t>
        </w:r>
        <w:r w:rsidR="002D7047" w:rsidRPr="00FE6D05">
          <w:rPr>
            <w:rStyle w:val="Hyperlink"/>
          </w:rPr>
          <w:tab/>
        </w:r>
        <w:r w:rsidR="0070696F" w:rsidRPr="00FE6D05">
          <w:rPr>
            <w:rStyle w:val="Hyperlink"/>
          </w:rPr>
          <w:t xml:space="preserve">Income statement (Showing Net Cost of Services) (unaudited) for the </w:t>
        </w:r>
        <w:r w:rsidR="00A862D0">
          <w:rPr>
            <w:rStyle w:val="Hyperlink"/>
          </w:rPr>
          <w:t>period</w:t>
        </w:r>
        <w:r w:rsidR="0070696F" w:rsidRPr="00FE6D05">
          <w:rPr>
            <w:rStyle w:val="Hyperlink"/>
          </w:rPr>
          <w:t xml:space="preserve"> ended 30 June 202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_Toc146790815 \h </w:instrText>
        </w:r>
        <w:r w:rsidR="0070696F" w:rsidRPr="00FE6D05">
          <w:rPr>
            <w:webHidden/>
          </w:rPr>
        </w:r>
        <w:r w:rsidR="0070696F" w:rsidRPr="00FE6D05">
          <w:rPr>
            <w:webHidden/>
          </w:rPr>
          <w:fldChar w:fldCharType="separate"/>
        </w:r>
        <w:r w:rsidR="00F1212B">
          <w:rPr>
            <w:webHidden/>
          </w:rPr>
          <w:t>26</w:t>
        </w:r>
        <w:r w:rsidR="0070696F" w:rsidRPr="00FE6D05">
          <w:rPr>
            <w:webHidden/>
          </w:rPr>
          <w:fldChar w:fldCharType="end"/>
        </w:r>
      </w:hyperlink>
    </w:p>
    <w:p w14:paraId="314EEC04" w14:textId="03028129"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6" w:history="1">
        <w:r w:rsidR="0070696F" w:rsidRPr="00FE6D05">
          <w:rPr>
            <w:rStyle w:val="Hyperlink"/>
          </w:rPr>
          <w:t>Table </w:t>
        </w:r>
        <w:r w:rsidR="002D2C29" w:rsidRPr="00FE6D05">
          <w:rPr>
            <w:rStyle w:val="Hyperlink"/>
          </w:rPr>
          <w:t>8</w:t>
        </w:r>
        <w:r w:rsidR="0070696F" w:rsidRPr="00FE6D05">
          <w:rPr>
            <w:rStyle w:val="Hyperlink"/>
          </w:rPr>
          <w:t xml:space="preserve">: </w:t>
        </w:r>
        <w:r w:rsidR="002D7047" w:rsidRPr="00FE6D05">
          <w:rPr>
            <w:rStyle w:val="Hyperlink"/>
          </w:rPr>
          <w:tab/>
        </w:r>
        <w:r w:rsidR="0070696F" w:rsidRPr="00FE6D05">
          <w:rPr>
            <w:rStyle w:val="Hyperlink"/>
          </w:rPr>
          <w:t>Operative staff by classification and gender</w:t>
        </w:r>
        <w:r w:rsidR="0070696F" w:rsidRPr="00FE6D05">
          <w:rPr>
            <w:webHidden/>
          </w:rPr>
          <w:tab/>
        </w:r>
        <w:r w:rsidR="0070696F" w:rsidRPr="00FE6D05">
          <w:rPr>
            <w:webHidden/>
          </w:rPr>
          <w:fldChar w:fldCharType="begin"/>
        </w:r>
        <w:r w:rsidR="0070696F" w:rsidRPr="00FE6D05">
          <w:rPr>
            <w:webHidden/>
          </w:rPr>
          <w:instrText xml:space="preserve"> PAGEREF _Toc146790816 \h </w:instrText>
        </w:r>
        <w:r w:rsidR="0070696F" w:rsidRPr="00FE6D05">
          <w:rPr>
            <w:webHidden/>
          </w:rPr>
        </w:r>
        <w:r w:rsidR="0070696F" w:rsidRPr="00FE6D05">
          <w:rPr>
            <w:webHidden/>
          </w:rPr>
          <w:fldChar w:fldCharType="separate"/>
        </w:r>
        <w:r w:rsidR="00F1212B">
          <w:rPr>
            <w:webHidden/>
          </w:rPr>
          <w:t>30</w:t>
        </w:r>
        <w:r w:rsidR="0070696F" w:rsidRPr="00FE6D05">
          <w:rPr>
            <w:webHidden/>
          </w:rPr>
          <w:fldChar w:fldCharType="end"/>
        </w:r>
      </w:hyperlink>
    </w:p>
    <w:p w14:paraId="3BC1342A" w14:textId="2F29F25D"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7" w:history="1">
        <w:r w:rsidR="0070696F" w:rsidRPr="00FE6D05">
          <w:rPr>
            <w:rStyle w:val="Hyperlink"/>
          </w:rPr>
          <w:t>Table </w:t>
        </w:r>
        <w:r w:rsidR="002D2C29" w:rsidRPr="00FE6D05">
          <w:rPr>
            <w:rStyle w:val="Hyperlink"/>
          </w:rPr>
          <w:t>9</w:t>
        </w:r>
        <w:r w:rsidR="0070696F" w:rsidRPr="00FE6D05">
          <w:rPr>
            <w:rStyle w:val="Hyperlink"/>
          </w:rPr>
          <w:t xml:space="preserve">: </w:t>
        </w:r>
        <w:r w:rsidR="002D7047" w:rsidRPr="00FE6D05">
          <w:rPr>
            <w:rStyle w:val="Hyperlink"/>
          </w:rPr>
          <w:tab/>
        </w:r>
        <w:r w:rsidR="0070696F" w:rsidRPr="00FE6D05">
          <w:rPr>
            <w:rStyle w:val="Hyperlink"/>
          </w:rPr>
          <w:t>Members of the Panel at 30 June 202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_Toc146790817 \h </w:instrText>
        </w:r>
        <w:r w:rsidR="0070696F" w:rsidRPr="00FE6D05">
          <w:rPr>
            <w:webHidden/>
          </w:rPr>
        </w:r>
        <w:r w:rsidR="0070696F" w:rsidRPr="00FE6D05">
          <w:rPr>
            <w:webHidden/>
          </w:rPr>
          <w:fldChar w:fldCharType="separate"/>
        </w:r>
        <w:r w:rsidR="00F1212B">
          <w:rPr>
            <w:webHidden/>
          </w:rPr>
          <w:t>34</w:t>
        </w:r>
        <w:r w:rsidR="0070696F" w:rsidRPr="00FE6D05">
          <w:rPr>
            <w:webHidden/>
          </w:rPr>
          <w:fldChar w:fldCharType="end"/>
        </w:r>
      </w:hyperlink>
    </w:p>
    <w:p w14:paraId="7DFAF982" w14:textId="7A323F99"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8" w:history="1">
        <w:r w:rsidR="0070696F" w:rsidRPr="00FE6D05">
          <w:rPr>
            <w:rStyle w:val="Hyperlink"/>
          </w:rPr>
          <w:t>Table </w:t>
        </w:r>
        <w:r w:rsidR="002D2C29" w:rsidRPr="00FE6D05">
          <w:rPr>
            <w:rStyle w:val="Hyperlink"/>
          </w:rPr>
          <w:t>10</w:t>
        </w:r>
        <w:r w:rsidR="0070696F" w:rsidRPr="00FE6D05">
          <w:rPr>
            <w:rStyle w:val="Hyperlink"/>
          </w:rPr>
          <w:t xml:space="preserve">: </w:t>
        </w:r>
        <w:r w:rsidR="002D7047" w:rsidRPr="00FE6D05">
          <w:rPr>
            <w:rStyle w:val="Hyperlink"/>
          </w:rPr>
          <w:tab/>
        </w:r>
        <w:r w:rsidR="0070696F" w:rsidRPr="00FE6D05">
          <w:rPr>
            <w:rStyle w:val="Hyperlink"/>
          </w:rPr>
          <w:t>Members appointed to the Panel in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_Toc146790818 \h </w:instrText>
        </w:r>
        <w:r w:rsidR="0070696F" w:rsidRPr="00FE6D05">
          <w:rPr>
            <w:webHidden/>
          </w:rPr>
        </w:r>
        <w:r w:rsidR="0070696F" w:rsidRPr="00FE6D05">
          <w:rPr>
            <w:webHidden/>
          </w:rPr>
          <w:fldChar w:fldCharType="separate"/>
        </w:r>
        <w:r w:rsidR="00F1212B">
          <w:rPr>
            <w:webHidden/>
          </w:rPr>
          <w:t>35</w:t>
        </w:r>
        <w:r w:rsidR="0070696F" w:rsidRPr="00FE6D05">
          <w:rPr>
            <w:webHidden/>
          </w:rPr>
          <w:fldChar w:fldCharType="end"/>
        </w:r>
      </w:hyperlink>
    </w:p>
    <w:p w14:paraId="2042F0A8" w14:textId="55349999"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19" w:history="1">
        <w:r w:rsidR="0070696F" w:rsidRPr="00FE6D05">
          <w:rPr>
            <w:rStyle w:val="Hyperlink"/>
          </w:rPr>
          <w:t>Table </w:t>
        </w:r>
        <w:r w:rsidR="002D2C29" w:rsidRPr="00FE6D05">
          <w:rPr>
            <w:rStyle w:val="Hyperlink"/>
          </w:rPr>
          <w:t>11</w:t>
        </w:r>
        <w:r w:rsidR="0070696F" w:rsidRPr="00FE6D05">
          <w:rPr>
            <w:rStyle w:val="Hyperlink"/>
          </w:rPr>
          <w:t xml:space="preserve">: </w:t>
        </w:r>
        <w:r w:rsidR="002D7047" w:rsidRPr="00FE6D05">
          <w:rPr>
            <w:rStyle w:val="Hyperlink"/>
          </w:rPr>
          <w:tab/>
        </w:r>
        <w:r w:rsidR="0070696F" w:rsidRPr="00FE6D05">
          <w:rPr>
            <w:rStyle w:val="Hyperlink"/>
          </w:rPr>
          <w:t>Members who ceased their membership of the Panel in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_Toc146790819 \h </w:instrText>
        </w:r>
        <w:r w:rsidR="0070696F" w:rsidRPr="00FE6D05">
          <w:rPr>
            <w:webHidden/>
          </w:rPr>
        </w:r>
        <w:r w:rsidR="0070696F" w:rsidRPr="00FE6D05">
          <w:rPr>
            <w:webHidden/>
          </w:rPr>
          <w:fldChar w:fldCharType="separate"/>
        </w:r>
        <w:r w:rsidR="00F1212B">
          <w:rPr>
            <w:webHidden/>
          </w:rPr>
          <w:t>35</w:t>
        </w:r>
        <w:r w:rsidR="0070696F" w:rsidRPr="00FE6D05">
          <w:rPr>
            <w:webHidden/>
          </w:rPr>
          <w:fldChar w:fldCharType="end"/>
        </w:r>
      </w:hyperlink>
    </w:p>
    <w:p w14:paraId="43171D65" w14:textId="27BC7A5C"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0" w:history="1">
        <w:r w:rsidR="0070696F" w:rsidRPr="00FE6D05">
          <w:rPr>
            <w:rStyle w:val="Hyperlink"/>
          </w:rPr>
          <w:t>Table </w:t>
        </w:r>
        <w:r w:rsidR="002D2C29" w:rsidRPr="00FE6D05">
          <w:rPr>
            <w:rStyle w:val="Hyperlink"/>
          </w:rPr>
          <w:t>12</w:t>
        </w:r>
        <w:r w:rsidR="0070696F" w:rsidRPr="00FE6D05">
          <w:rPr>
            <w:rStyle w:val="Hyperlink"/>
          </w:rPr>
          <w:t xml:space="preserve">: </w:t>
        </w:r>
        <w:r w:rsidR="002D7047" w:rsidRPr="00FE6D05">
          <w:rPr>
            <w:rStyle w:val="Hyperlink"/>
          </w:rPr>
          <w:tab/>
        </w:r>
        <w:r w:rsidR="0070696F" w:rsidRPr="00FE6D05">
          <w:rPr>
            <w:rStyle w:val="Hyperlink"/>
          </w:rPr>
          <w:t>Sub</w:t>
        </w:r>
        <w:r w:rsidR="008941F8">
          <w:rPr>
            <w:rStyle w:val="Hyperlink"/>
          </w:rPr>
          <w:noBreakHyphen/>
        </w:r>
        <w:r w:rsidR="0070696F" w:rsidRPr="00FE6D05">
          <w:rPr>
            <w:rStyle w:val="Hyperlink"/>
          </w:rPr>
          <w:t>committees</w:t>
        </w:r>
        <w:r w:rsidR="0070696F" w:rsidRPr="00FE6D05">
          <w:rPr>
            <w:webHidden/>
          </w:rPr>
          <w:tab/>
        </w:r>
        <w:r w:rsidR="0070696F" w:rsidRPr="00FE6D05">
          <w:rPr>
            <w:webHidden/>
          </w:rPr>
          <w:fldChar w:fldCharType="begin"/>
        </w:r>
        <w:r w:rsidR="0070696F" w:rsidRPr="00FE6D05">
          <w:rPr>
            <w:webHidden/>
          </w:rPr>
          <w:instrText xml:space="preserve"> PAGEREF _Toc146790820 \h </w:instrText>
        </w:r>
        <w:r w:rsidR="0070696F" w:rsidRPr="00FE6D05">
          <w:rPr>
            <w:webHidden/>
          </w:rPr>
        </w:r>
        <w:r w:rsidR="0070696F" w:rsidRPr="00FE6D05">
          <w:rPr>
            <w:webHidden/>
          </w:rPr>
          <w:fldChar w:fldCharType="separate"/>
        </w:r>
        <w:r w:rsidR="00F1212B">
          <w:rPr>
            <w:webHidden/>
          </w:rPr>
          <w:t>36</w:t>
        </w:r>
        <w:r w:rsidR="0070696F" w:rsidRPr="00FE6D05">
          <w:rPr>
            <w:webHidden/>
          </w:rPr>
          <w:fldChar w:fldCharType="end"/>
        </w:r>
      </w:hyperlink>
    </w:p>
    <w:p w14:paraId="68CF86A7" w14:textId="422FD49F"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1" w:history="1">
        <w:r w:rsidR="0070696F" w:rsidRPr="00FE6D05">
          <w:rPr>
            <w:rStyle w:val="Hyperlink"/>
          </w:rPr>
          <w:t>Table </w:t>
        </w:r>
        <w:r w:rsidR="002D2C29" w:rsidRPr="00FE6D05">
          <w:rPr>
            <w:rStyle w:val="Hyperlink"/>
          </w:rPr>
          <w:t>13</w:t>
        </w:r>
        <w:r w:rsidR="0070696F" w:rsidRPr="00FE6D05">
          <w:rPr>
            <w:rStyle w:val="Hyperlink"/>
          </w:rPr>
          <w:t xml:space="preserve">: </w:t>
        </w:r>
        <w:r w:rsidR="002D7047" w:rsidRPr="00FE6D05">
          <w:rPr>
            <w:rStyle w:val="Hyperlink"/>
          </w:rPr>
          <w:tab/>
        </w:r>
        <w:r w:rsidR="0070696F" w:rsidRPr="00FE6D05">
          <w:rPr>
            <w:rStyle w:val="Hyperlink"/>
          </w:rPr>
          <w:t>Applications received by the Panel in 202</w:t>
        </w:r>
        <w:r w:rsidR="006D4039" w:rsidRPr="00FE6D05">
          <w:rPr>
            <w:rStyle w:val="Hyperlink"/>
          </w:rPr>
          <w:t>3</w:t>
        </w:r>
        <w:r w:rsidR="0070696F" w:rsidRPr="00FE6D05">
          <w:rPr>
            <w:rStyle w:val="Hyperlink"/>
          </w:rPr>
          <w:t>–2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_Toc146790821 \h </w:instrText>
        </w:r>
        <w:r w:rsidR="0070696F" w:rsidRPr="00FE6D05">
          <w:rPr>
            <w:webHidden/>
          </w:rPr>
        </w:r>
        <w:r w:rsidR="0070696F" w:rsidRPr="00FE6D05">
          <w:rPr>
            <w:webHidden/>
          </w:rPr>
          <w:fldChar w:fldCharType="separate"/>
        </w:r>
        <w:r w:rsidR="00F1212B">
          <w:rPr>
            <w:webHidden/>
          </w:rPr>
          <w:t>37</w:t>
        </w:r>
        <w:r w:rsidR="0070696F" w:rsidRPr="00FE6D05">
          <w:rPr>
            <w:webHidden/>
          </w:rPr>
          <w:fldChar w:fldCharType="end"/>
        </w:r>
      </w:hyperlink>
    </w:p>
    <w:p w14:paraId="7C6DA223" w14:textId="3F34689D"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2" w:history="1">
        <w:r w:rsidR="0070696F" w:rsidRPr="00FE6D05">
          <w:rPr>
            <w:rStyle w:val="Hyperlink"/>
          </w:rPr>
          <w:t>Table </w:t>
        </w:r>
        <w:r w:rsidR="002D2C29" w:rsidRPr="00FE6D05">
          <w:rPr>
            <w:rStyle w:val="Hyperlink"/>
          </w:rPr>
          <w:t>14</w:t>
        </w:r>
        <w:r w:rsidR="0070696F" w:rsidRPr="00FE6D05">
          <w:rPr>
            <w:rStyle w:val="Hyperlink"/>
          </w:rPr>
          <w:t xml:space="preserve">: </w:t>
        </w:r>
        <w:r w:rsidR="002D7047" w:rsidRPr="00FE6D05">
          <w:rPr>
            <w:rStyle w:val="Hyperlink"/>
          </w:rPr>
          <w:tab/>
        </w:r>
        <w:r w:rsidR="0070696F" w:rsidRPr="00FE6D05">
          <w:rPr>
            <w:rStyle w:val="Hyperlink"/>
          </w:rPr>
          <w:t>Outcomes of review applications received by the Panel in 202</w:t>
        </w:r>
        <w:r w:rsidR="006D4039" w:rsidRPr="00FE6D05">
          <w:rPr>
            <w:rStyle w:val="Hyperlink"/>
          </w:rPr>
          <w:t>3</w:t>
        </w:r>
        <w:r w:rsidR="0070696F" w:rsidRPr="00FE6D05">
          <w:rPr>
            <w:rStyle w:val="Hyperlink"/>
          </w:rPr>
          <w:t>–</w:t>
        </w:r>
        <w:r w:rsidR="002D7047" w:rsidRPr="00FE6D05">
          <w:rPr>
            <w:rStyle w:val="Hyperlink"/>
          </w:rPr>
          <w:t>‍</w:t>
        </w:r>
        <w:r w:rsidR="0070696F" w:rsidRPr="00FE6D05">
          <w:rPr>
            <w:rStyle w:val="Hyperlink"/>
          </w:rPr>
          <w:t>2</w:t>
        </w:r>
        <w:r w:rsidR="006D4039" w:rsidRPr="00FE6D05">
          <w:rPr>
            <w:rStyle w:val="Hyperlink"/>
          </w:rPr>
          <w:t>4</w:t>
        </w:r>
        <w:r w:rsidR="0070696F" w:rsidRPr="00FE6D05">
          <w:rPr>
            <w:webHidden/>
          </w:rPr>
          <w:tab/>
        </w:r>
      </w:hyperlink>
      <w:r w:rsidR="00FE6D05" w:rsidRPr="00FE6D05">
        <w:t>39</w:t>
      </w:r>
    </w:p>
    <w:p w14:paraId="571C68F9" w14:textId="14F20105" w:rsidR="00A352C1" w:rsidRPr="00FE6D05" w:rsidRDefault="00D04E8C" w:rsidP="00102C9C">
      <w:pPr>
        <w:pStyle w:val="SingleParagraph"/>
      </w:pPr>
      <w:r w:rsidRPr="00FE6D05">
        <w:fldChar w:fldCharType="end"/>
      </w:r>
      <w:bookmarkStart w:id="21" w:name="_Toc148265065"/>
    </w:p>
    <w:p w14:paraId="571C68FB" w14:textId="77777777" w:rsidR="006555DE" w:rsidRPr="00FE6D05" w:rsidRDefault="006555DE" w:rsidP="002D7047">
      <w:pPr>
        <w:pStyle w:val="ContentsHeading"/>
        <w:ind w:left="992" w:hanging="992"/>
      </w:pPr>
      <w:bookmarkStart w:id="22" w:name="_Toc174632373"/>
      <w:r w:rsidRPr="00FE6D05">
        <w:t>List of charts</w:t>
      </w:r>
      <w:bookmarkEnd w:id="21"/>
      <w:bookmarkEnd w:id="22"/>
    </w:p>
    <w:p w14:paraId="7105CC66" w14:textId="4A37D643" w:rsidR="0070696F" w:rsidRPr="00FE6D05" w:rsidRDefault="00D04E8C" w:rsidP="0087496A">
      <w:pPr>
        <w:pStyle w:val="TOC2"/>
        <w:keepNext/>
        <w:rPr>
          <w:rFonts w:asciiTheme="minorHAnsi" w:eastAsiaTheme="minorEastAsia" w:hAnsiTheme="minorHAnsi" w:cstheme="minorBidi"/>
          <w:color w:val="auto"/>
          <w:kern w:val="0"/>
          <w:sz w:val="22"/>
          <w:szCs w:val="22"/>
          <w:lang w:eastAsia="en-AU"/>
        </w:rPr>
      </w:pPr>
      <w:r w:rsidRPr="00FE6D05">
        <w:rPr>
          <w:kern w:val="0"/>
        </w:rPr>
        <w:fldChar w:fldCharType="begin"/>
      </w:r>
      <w:r w:rsidR="006555DE" w:rsidRPr="00FE6D05">
        <w:instrText xml:space="preserve"> TOC \h \z \t "Chart Main Heading,2" </w:instrText>
      </w:r>
      <w:r w:rsidRPr="00FE6D05">
        <w:rPr>
          <w:kern w:val="0"/>
        </w:rPr>
        <w:fldChar w:fldCharType="separate"/>
      </w:r>
      <w:hyperlink w:anchor="_Toc146790823" w:history="1">
        <w:r w:rsidR="0070696F" w:rsidRPr="00FE6D05">
          <w:rPr>
            <w:rStyle w:val="Hyperlink"/>
          </w:rPr>
          <w:t xml:space="preserve">Chart 1: </w:t>
        </w:r>
        <w:r w:rsidR="002D7047" w:rsidRPr="00FE6D05">
          <w:rPr>
            <w:rStyle w:val="Hyperlink"/>
          </w:rPr>
          <w:tab/>
        </w:r>
        <w:r w:rsidR="0070696F" w:rsidRPr="00FE6D05">
          <w:rPr>
            <w:rStyle w:val="Hyperlink"/>
          </w:rPr>
          <w:t>The Panel</w:t>
        </w:r>
        <w:r w:rsidR="008941F8">
          <w:rPr>
            <w:rStyle w:val="Hyperlink"/>
          </w:rPr>
          <w:t>’</w:t>
        </w:r>
        <w:r w:rsidR="0070696F" w:rsidRPr="00FE6D05">
          <w:rPr>
            <w:rStyle w:val="Hyperlink"/>
          </w:rPr>
          <w:t>s organisation structure</w:t>
        </w:r>
        <w:r w:rsidR="00FE5586">
          <w:rPr>
            <w:rStyle w:val="Hyperlink"/>
          </w:rPr>
          <w:t xml:space="preserve"> as at 30 June 2024</w:t>
        </w:r>
        <w:r w:rsidR="0070696F" w:rsidRPr="00FE6D05">
          <w:rPr>
            <w:webHidden/>
          </w:rPr>
          <w:tab/>
        </w:r>
        <w:r w:rsidR="0070696F" w:rsidRPr="00FE6D05">
          <w:rPr>
            <w:webHidden/>
          </w:rPr>
          <w:fldChar w:fldCharType="begin"/>
        </w:r>
        <w:r w:rsidR="0070696F" w:rsidRPr="00FE6D05">
          <w:rPr>
            <w:webHidden/>
          </w:rPr>
          <w:instrText xml:space="preserve"> PAGEREF _Toc146790823 \h </w:instrText>
        </w:r>
        <w:r w:rsidR="0070696F" w:rsidRPr="00FE6D05">
          <w:rPr>
            <w:webHidden/>
          </w:rPr>
        </w:r>
        <w:r w:rsidR="0070696F" w:rsidRPr="00FE6D05">
          <w:rPr>
            <w:webHidden/>
          </w:rPr>
          <w:fldChar w:fldCharType="separate"/>
        </w:r>
        <w:r w:rsidR="00F1212B">
          <w:rPr>
            <w:webHidden/>
          </w:rPr>
          <w:t>9</w:t>
        </w:r>
        <w:r w:rsidR="0070696F" w:rsidRPr="00FE6D05">
          <w:rPr>
            <w:webHidden/>
          </w:rPr>
          <w:fldChar w:fldCharType="end"/>
        </w:r>
      </w:hyperlink>
    </w:p>
    <w:p w14:paraId="067F5A65" w14:textId="022583F9" w:rsidR="0070696F" w:rsidRPr="00FE6D05" w:rsidRDefault="00872A1D" w:rsidP="0087496A">
      <w:pPr>
        <w:pStyle w:val="TOC2"/>
        <w:keepNext/>
        <w:rPr>
          <w:rFonts w:asciiTheme="minorHAnsi" w:eastAsiaTheme="minorEastAsia" w:hAnsiTheme="minorHAnsi" w:cstheme="minorBidi"/>
          <w:color w:val="auto"/>
          <w:kern w:val="0"/>
          <w:sz w:val="22"/>
          <w:szCs w:val="22"/>
          <w:lang w:eastAsia="en-AU"/>
        </w:rPr>
      </w:pPr>
      <w:hyperlink w:anchor="_Toc146790824" w:history="1">
        <w:r w:rsidR="0070696F" w:rsidRPr="00FE6D05">
          <w:rPr>
            <w:rStyle w:val="Hyperlink"/>
          </w:rPr>
          <w:t xml:space="preserve">Chart 2: </w:t>
        </w:r>
        <w:r w:rsidR="002D7047" w:rsidRPr="00FE6D05">
          <w:rPr>
            <w:rStyle w:val="Hyperlink"/>
          </w:rPr>
          <w:tab/>
        </w:r>
        <w:r w:rsidR="0070696F" w:rsidRPr="00FE6D05">
          <w:rPr>
            <w:rStyle w:val="Hyperlink"/>
          </w:rPr>
          <w:t>Panel members by Profession at 30 June 202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_Toc146790824 \h </w:instrText>
        </w:r>
        <w:r w:rsidR="0070696F" w:rsidRPr="00FE6D05">
          <w:rPr>
            <w:webHidden/>
          </w:rPr>
        </w:r>
        <w:r w:rsidR="0070696F" w:rsidRPr="00FE6D05">
          <w:rPr>
            <w:webHidden/>
          </w:rPr>
          <w:fldChar w:fldCharType="separate"/>
        </w:r>
        <w:r w:rsidR="00F1212B">
          <w:rPr>
            <w:webHidden/>
          </w:rPr>
          <w:t>13</w:t>
        </w:r>
        <w:r w:rsidR="0070696F" w:rsidRPr="00FE6D05">
          <w:rPr>
            <w:webHidden/>
          </w:rPr>
          <w:fldChar w:fldCharType="end"/>
        </w:r>
      </w:hyperlink>
    </w:p>
    <w:p w14:paraId="5EBB998D" w14:textId="051B69F8"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5" w:history="1">
        <w:r w:rsidR="0070696F" w:rsidRPr="00FE6D05">
          <w:rPr>
            <w:rStyle w:val="Hyperlink"/>
          </w:rPr>
          <w:t xml:space="preserve">Chart 3: </w:t>
        </w:r>
        <w:r w:rsidR="002D7047" w:rsidRPr="00FE6D05">
          <w:rPr>
            <w:rStyle w:val="Hyperlink"/>
          </w:rPr>
          <w:tab/>
        </w:r>
        <w:r w:rsidR="0070696F" w:rsidRPr="00FE6D05">
          <w:rPr>
            <w:rStyle w:val="Hyperlink"/>
          </w:rPr>
          <w:t>Panel members by Location at 30 June 202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_Toc146790825 \h </w:instrText>
        </w:r>
        <w:r w:rsidR="0070696F" w:rsidRPr="00FE6D05">
          <w:rPr>
            <w:webHidden/>
          </w:rPr>
        </w:r>
        <w:r w:rsidR="0070696F" w:rsidRPr="00FE6D05">
          <w:rPr>
            <w:webHidden/>
          </w:rPr>
          <w:fldChar w:fldCharType="separate"/>
        </w:r>
        <w:r w:rsidR="00F1212B">
          <w:rPr>
            <w:webHidden/>
          </w:rPr>
          <w:t>13</w:t>
        </w:r>
        <w:r w:rsidR="0070696F" w:rsidRPr="00FE6D05">
          <w:rPr>
            <w:webHidden/>
          </w:rPr>
          <w:fldChar w:fldCharType="end"/>
        </w:r>
      </w:hyperlink>
    </w:p>
    <w:p w14:paraId="5DFE8D4A" w14:textId="7B8550C6"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6" w:history="1">
        <w:r w:rsidR="0070696F" w:rsidRPr="00FE6D05">
          <w:rPr>
            <w:rStyle w:val="Hyperlink"/>
          </w:rPr>
          <w:t xml:space="preserve">Chart 4: </w:t>
        </w:r>
        <w:r w:rsidR="002D7047" w:rsidRPr="00FE6D05">
          <w:rPr>
            <w:rStyle w:val="Hyperlink"/>
          </w:rPr>
          <w:tab/>
        </w:r>
        <w:r w:rsidR="0070696F" w:rsidRPr="00FE6D05">
          <w:rPr>
            <w:rStyle w:val="Hyperlink"/>
          </w:rPr>
          <w:t>Panel members by Gender at 30 June 202</w:t>
        </w:r>
        <w:r w:rsidR="006D4039" w:rsidRPr="00FE6D05">
          <w:rPr>
            <w:rStyle w:val="Hyperlink"/>
          </w:rPr>
          <w:t>4</w:t>
        </w:r>
        <w:r w:rsidR="0070696F" w:rsidRPr="00FE6D05">
          <w:rPr>
            <w:webHidden/>
          </w:rPr>
          <w:tab/>
        </w:r>
        <w:r w:rsidR="0070696F" w:rsidRPr="00FE6D05">
          <w:rPr>
            <w:webHidden/>
          </w:rPr>
          <w:fldChar w:fldCharType="begin"/>
        </w:r>
        <w:r w:rsidR="0070696F" w:rsidRPr="00FE6D05">
          <w:rPr>
            <w:webHidden/>
          </w:rPr>
          <w:instrText xml:space="preserve"> PAGEREF _Toc146790826 \h </w:instrText>
        </w:r>
        <w:r w:rsidR="0070696F" w:rsidRPr="00FE6D05">
          <w:rPr>
            <w:webHidden/>
          </w:rPr>
        </w:r>
        <w:r w:rsidR="0070696F" w:rsidRPr="00FE6D05">
          <w:rPr>
            <w:webHidden/>
          </w:rPr>
          <w:fldChar w:fldCharType="separate"/>
        </w:r>
        <w:r w:rsidR="00F1212B">
          <w:rPr>
            <w:webHidden/>
          </w:rPr>
          <w:t>14</w:t>
        </w:r>
        <w:r w:rsidR="0070696F" w:rsidRPr="00FE6D05">
          <w:rPr>
            <w:webHidden/>
          </w:rPr>
          <w:fldChar w:fldCharType="end"/>
        </w:r>
      </w:hyperlink>
    </w:p>
    <w:p w14:paraId="097F2C46" w14:textId="659A0452" w:rsidR="0070696F" w:rsidRPr="00FE6D05" w:rsidRDefault="00872A1D" w:rsidP="002D7047">
      <w:pPr>
        <w:pStyle w:val="TOC2"/>
        <w:rPr>
          <w:rFonts w:asciiTheme="minorHAnsi" w:eastAsiaTheme="minorEastAsia" w:hAnsiTheme="minorHAnsi" w:cstheme="minorBidi"/>
          <w:color w:val="auto"/>
          <w:kern w:val="0"/>
          <w:sz w:val="22"/>
          <w:szCs w:val="22"/>
          <w:lang w:eastAsia="en-AU"/>
        </w:rPr>
      </w:pPr>
      <w:hyperlink w:anchor="_Toc146790827" w:history="1">
        <w:r w:rsidR="0070696F" w:rsidRPr="00FE6D05">
          <w:rPr>
            <w:rStyle w:val="Hyperlink"/>
          </w:rPr>
          <w:t xml:space="preserve">Chart 5: </w:t>
        </w:r>
        <w:r w:rsidR="002D7047" w:rsidRPr="00FE6D05">
          <w:rPr>
            <w:rStyle w:val="Hyperlink"/>
          </w:rPr>
          <w:tab/>
        </w:r>
        <w:r w:rsidR="0070696F" w:rsidRPr="00FE6D05">
          <w:rPr>
            <w:rStyle w:val="Hyperlink"/>
          </w:rPr>
          <w:t>The Panel</w:t>
        </w:r>
        <w:r w:rsidR="008941F8">
          <w:rPr>
            <w:rStyle w:val="Hyperlink"/>
          </w:rPr>
          <w:t>’</w:t>
        </w:r>
        <w:r w:rsidR="0070696F" w:rsidRPr="00FE6D05">
          <w:rPr>
            <w:rStyle w:val="Hyperlink"/>
          </w:rPr>
          <w:t>s process for applications for declarations of unacceptable circumstances</w:t>
        </w:r>
        <w:r w:rsidR="0070696F" w:rsidRPr="00FE6D05">
          <w:rPr>
            <w:webHidden/>
          </w:rPr>
          <w:tab/>
        </w:r>
        <w:r w:rsidR="0070696F" w:rsidRPr="00FE6D05">
          <w:rPr>
            <w:webHidden/>
          </w:rPr>
          <w:fldChar w:fldCharType="begin"/>
        </w:r>
        <w:r w:rsidR="0070696F" w:rsidRPr="00FE6D05">
          <w:rPr>
            <w:webHidden/>
          </w:rPr>
          <w:instrText xml:space="preserve"> PAGEREF _Toc146790827 \h </w:instrText>
        </w:r>
        <w:r w:rsidR="0070696F" w:rsidRPr="00FE6D05">
          <w:rPr>
            <w:webHidden/>
          </w:rPr>
        </w:r>
        <w:r w:rsidR="0070696F" w:rsidRPr="00FE6D05">
          <w:rPr>
            <w:webHidden/>
          </w:rPr>
          <w:fldChar w:fldCharType="separate"/>
        </w:r>
        <w:r w:rsidR="00F1212B">
          <w:rPr>
            <w:webHidden/>
          </w:rPr>
          <w:t>19</w:t>
        </w:r>
        <w:r w:rsidR="0070696F" w:rsidRPr="00FE6D05">
          <w:rPr>
            <w:webHidden/>
          </w:rPr>
          <w:fldChar w:fldCharType="end"/>
        </w:r>
      </w:hyperlink>
    </w:p>
    <w:p w14:paraId="68138833" w14:textId="77777777" w:rsidR="00A818C0" w:rsidRPr="00A818C0" w:rsidRDefault="00D04E8C" w:rsidP="00A818C0">
      <w:r w:rsidRPr="00FE6D05">
        <w:fldChar w:fldCharType="end"/>
      </w:r>
      <w:r w:rsidR="006555DE" w:rsidRPr="009B3185">
        <w:br w:type="page"/>
      </w:r>
      <w:bookmarkStart w:id="23" w:name="_Toc143338223"/>
      <w:bookmarkStart w:id="24" w:name="_Toc143340289"/>
      <w:bookmarkStart w:id="25" w:name="_Toc143418663"/>
      <w:bookmarkStart w:id="26" w:name="_Toc143420172"/>
      <w:bookmarkStart w:id="27" w:name="_Toc177204241"/>
      <w:bookmarkStart w:id="28" w:name="_Toc204589436"/>
      <w:bookmarkStart w:id="29" w:name="_Toc204589533"/>
      <w:bookmarkStart w:id="30" w:name="_Toc204590125"/>
      <w:bookmarkStart w:id="31" w:name="_Toc204591206"/>
      <w:bookmarkStart w:id="32" w:name="_Toc204591267"/>
      <w:bookmarkStart w:id="33" w:name="_Toc204591381"/>
      <w:bookmarkStart w:id="34" w:name="_Toc207163401"/>
      <w:bookmarkStart w:id="35" w:name="_Toc332277147"/>
      <w:bookmarkStart w:id="36" w:name="_Toc362608061"/>
    </w:p>
    <w:p w14:paraId="571C6901" w14:textId="29597613" w:rsidR="006555DE" w:rsidRDefault="006555DE" w:rsidP="002D7047">
      <w:pPr>
        <w:pStyle w:val="ContentsHeading"/>
      </w:pPr>
      <w:bookmarkStart w:id="37" w:name="_Toc174632374"/>
      <w:r w:rsidRPr="00CD15D0">
        <w:lastRenderedPageBreak/>
        <w:t xml:space="preserve">Index of </w:t>
      </w:r>
      <w:r w:rsidR="00A352C1" w:rsidRPr="00CD15D0">
        <w:t>C</w:t>
      </w:r>
      <w:r w:rsidRPr="00CD15D0">
        <w:t>ompliance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9BDEC87" w14:textId="77777777" w:rsidR="00372032" w:rsidRDefault="00872A1D" w:rsidP="00372032">
      <w:pPr>
        <w:pStyle w:val="TOC2"/>
        <w:ind w:left="0" w:firstLine="1"/>
      </w:pPr>
      <w:hyperlink w:anchor="_Toc143688565" w:history="1">
        <w:r w:rsidR="00372032" w:rsidRPr="00C918CB">
          <w:rPr>
            <w:color w:val="000000" w:themeColor="text1"/>
          </w:rPr>
          <w:t>Letter of Transmittal</w:t>
        </w:r>
        <w:r w:rsidR="00372032">
          <w:rPr>
            <w:webHidden/>
          </w:rPr>
          <w:tab/>
          <w:t>iii</w:t>
        </w:r>
      </w:hyperlink>
    </w:p>
    <w:p w14:paraId="2627AD4B" w14:textId="77777777" w:rsidR="00372032" w:rsidRPr="00A818C0" w:rsidRDefault="00372032" w:rsidP="00372032">
      <w:pPr>
        <w:pStyle w:val="TOC2"/>
        <w:rPr>
          <w:rFonts w:eastAsia="Batang"/>
        </w:rPr>
      </w:pPr>
    </w:p>
    <w:p w14:paraId="5B2FDD34" w14:textId="77777777" w:rsidR="00372032" w:rsidRPr="00182BD1" w:rsidRDefault="00372032" w:rsidP="00372032">
      <w:pPr>
        <w:pStyle w:val="TOC2"/>
        <w:rPr>
          <w:rStyle w:val="Strong"/>
        </w:rPr>
      </w:pPr>
      <w:r w:rsidRPr="00182BD1">
        <w:rPr>
          <w:rStyle w:val="Strong"/>
        </w:rPr>
        <w:t>Aids to access</w:t>
      </w:r>
    </w:p>
    <w:p w14:paraId="5645EE41" w14:textId="77777777" w:rsidR="00372032" w:rsidRDefault="00372032" w:rsidP="00372032">
      <w:pPr>
        <w:pStyle w:val="TOC2"/>
        <w:ind w:left="0" w:firstLine="1"/>
      </w:pPr>
      <w:r w:rsidRPr="00C918CB">
        <w:fldChar w:fldCharType="begin"/>
      </w:r>
      <w:r w:rsidRPr="00C918CB">
        <w:instrText xml:space="preserve"> TOC \h \z \t "Table Main Heading,2" </w:instrText>
      </w:r>
      <w:r w:rsidRPr="00C918CB">
        <w:fldChar w:fldCharType="separate"/>
      </w:r>
      <w:hyperlink w:anchor="_Toc143688565" w:history="1">
        <w:r>
          <w:t>Table of c</w:t>
        </w:r>
        <w:r w:rsidRPr="00672672">
          <w:t>ontent</w:t>
        </w:r>
        <w:r>
          <w:t>s</w:t>
        </w:r>
        <w:r w:rsidRPr="00C918CB">
          <w:rPr>
            <w:webHidden/>
          </w:rPr>
          <w:t xml:space="preserve"> </w:t>
        </w:r>
        <w:r w:rsidRPr="00C918CB">
          <w:rPr>
            <w:webHidden/>
          </w:rPr>
          <w:tab/>
          <w:t>i</w:t>
        </w:r>
        <w:r>
          <w:rPr>
            <w:webHidden/>
          </w:rPr>
          <w:t>v</w:t>
        </w:r>
      </w:hyperlink>
    </w:p>
    <w:p w14:paraId="53D20FB3" w14:textId="77777777" w:rsidR="00372032" w:rsidRDefault="00372032" w:rsidP="00372032">
      <w:pPr>
        <w:pStyle w:val="TOC2"/>
        <w:ind w:left="0" w:firstLine="1"/>
      </w:pPr>
      <w:r>
        <w:t>Contact</w:t>
      </w:r>
      <w:r>
        <w:rPr>
          <w:webHidden/>
        </w:rPr>
        <w:tab/>
        <w:t>2</w:t>
      </w:r>
    </w:p>
    <w:p w14:paraId="3CB128EF" w14:textId="77777777" w:rsidR="00372032" w:rsidRDefault="00372032" w:rsidP="00372032">
      <w:pPr>
        <w:pStyle w:val="TOC2"/>
        <w:ind w:left="0" w:firstLine="1"/>
      </w:pPr>
      <w:r>
        <w:t>Website</w:t>
      </w:r>
      <w:r>
        <w:rPr>
          <w:webHidden/>
        </w:rPr>
        <w:tab/>
        <w:t>2</w:t>
      </w:r>
    </w:p>
    <w:p w14:paraId="737C29AB" w14:textId="77777777" w:rsidR="00372032" w:rsidRDefault="00372032" w:rsidP="00372032">
      <w:pPr>
        <w:pStyle w:val="TOC2"/>
        <w:ind w:left="0" w:firstLine="1"/>
      </w:pPr>
      <w:r>
        <w:t>Abbreviations and acronyms</w:t>
      </w:r>
      <w:r>
        <w:rPr>
          <w:webHidden/>
        </w:rPr>
        <w:tab/>
        <w:t>40</w:t>
      </w:r>
    </w:p>
    <w:p w14:paraId="7D5784F2" w14:textId="77777777" w:rsidR="00372032" w:rsidRPr="00C918CB" w:rsidRDefault="00372032" w:rsidP="00372032">
      <w:pPr>
        <w:pStyle w:val="TOC2"/>
        <w:ind w:left="0" w:firstLine="1"/>
      </w:pPr>
      <w:r>
        <w:t>Alphabetical index</w:t>
      </w:r>
      <w:r>
        <w:rPr>
          <w:webHidden/>
        </w:rPr>
        <w:tab/>
        <w:t>41</w:t>
      </w:r>
    </w:p>
    <w:p w14:paraId="2194339F" w14:textId="77777777" w:rsidR="00372032" w:rsidRPr="00A818C0" w:rsidRDefault="00372032" w:rsidP="00372032">
      <w:pPr>
        <w:pStyle w:val="TOC2"/>
        <w:rPr>
          <w:rFonts w:eastAsia="Batang"/>
        </w:rPr>
      </w:pPr>
    </w:p>
    <w:p w14:paraId="4D8D3067" w14:textId="77777777" w:rsidR="00372032" w:rsidRDefault="00372032" w:rsidP="00372032">
      <w:pPr>
        <w:pStyle w:val="TOC2"/>
      </w:pPr>
      <w:r w:rsidRPr="00182BD1">
        <w:rPr>
          <w:rStyle w:val="Strong"/>
        </w:rPr>
        <w:t>Review by the President</w:t>
      </w:r>
      <w:r w:rsidRPr="00C918CB">
        <w:fldChar w:fldCharType="begin"/>
      </w:r>
      <w:r w:rsidRPr="00182BD1">
        <w:instrText xml:space="preserve"> TOC \h \z \t "Table Main Heading,2" </w:instrText>
      </w:r>
      <w:r w:rsidRPr="00C918CB">
        <w:fldChar w:fldCharType="separate"/>
      </w:r>
      <w:hyperlink w:anchor="_Toc143688565" w:history="1">
        <w:r w:rsidRPr="00182BD1">
          <w:rPr>
            <w:webHidden/>
          </w:rPr>
          <w:t xml:space="preserve"> </w:t>
        </w:r>
        <w:r w:rsidRPr="00182BD1">
          <w:rPr>
            <w:rStyle w:val="Strong"/>
            <w:webHidden/>
          </w:rPr>
          <w:tab/>
          <w:t>3</w:t>
        </w:r>
      </w:hyperlink>
    </w:p>
    <w:p w14:paraId="3C86D0DC" w14:textId="77777777" w:rsidR="00372032" w:rsidRPr="00A818C0" w:rsidRDefault="00372032" w:rsidP="00372032">
      <w:pPr>
        <w:pStyle w:val="TOC2"/>
        <w:rPr>
          <w:rFonts w:eastAsia="Batang"/>
        </w:rPr>
      </w:pPr>
    </w:p>
    <w:p w14:paraId="1B0761EA" w14:textId="77777777" w:rsidR="00372032" w:rsidRDefault="00372032" w:rsidP="00372032">
      <w:pPr>
        <w:pStyle w:val="TOC2"/>
        <w:ind w:left="0" w:firstLine="1"/>
      </w:pPr>
      <w:r w:rsidRPr="00953FDE">
        <w:rPr>
          <w:rStyle w:val="Strong"/>
        </w:rPr>
        <w:t xml:space="preserve">Overview of the Panel </w:t>
      </w:r>
      <w:r w:rsidRPr="00C918CB">
        <w:fldChar w:fldCharType="begin"/>
      </w:r>
      <w:r w:rsidRPr="00C918CB">
        <w:instrText xml:space="preserve"> TOC \h \z \t "Table Main Heading,2" </w:instrText>
      </w:r>
      <w:r w:rsidRPr="00C918CB">
        <w:fldChar w:fldCharType="separate"/>
      </w:r>
      <w:hyperlink w:anchor="_Toc143688565" w:history="1">
        <w:r w:rsidRPr="00C918CB">
          <w:rPr>
            <w:webHidden/>
          </w:rPr>
          <w:t xml:space="preserve"> </w:t>
        </w:r>
        <w:r w:rsidRPr="00182BD1">
          <w:rPr>
            <w:rStyle w:val="Strong"/>
            <w:webHidden/>
          </w:rPr>
          <w:tab/>
          <w:t>7</w:t>
        </w:r>
      </w:hyperlink>
    </w:p>
    <w:p w14:paraId="05440742" w14:textId="77777777" w:rsidR="00372032" w:rsidRDefault="00372032" w:rsidP="00372032">
      <w:pPr>
        <w:pStyle w:val="TOC2"/>
        <w:ind w:left="0" w:firstLine="1"/>
      </w:pPr>
    </w:p>
    <w:p w14:paraId="1DD719C3" w14:textId="77777777" w:rsidR="00372032" w:rsidRDefault="00372032" w:rsidP="00372032">
      <w:pPr>
        <w:pStyle w:val="TOC2"/>
        <w:ind w:left="0" w:firstLine="1"/>
      </w:pPr>
      <w:r w:rsidRPr="00953FDE">
        <w:rPr>
          <w:rStyle w:val="Strong"/>
        </w:rPr>
        <w:t>Performance reporting</w:t>
      </w:r>
      <w:r w:rsidRPr="00182BD1">
        <w:rPr>
          <w:rStyle w:val="Strong"/>
          <w:webHidden/>
        </w:rPr>
        <w:tab/>
        <w:t>2</w:t>
      </w:r>
      <w:r>
        <w:rPr>
          <w:rStyle w:val="Strong"/>
          <w:webHidden/>
        </w:rPr>
        <w:t>3</w:t>
      </w:r>
    </w:p>
    <w:p w14:paraId="60041CD0" w14:textId="77777777" w:rsidR="00372032" w:rsidRDefault="00372032" w:rsidP="00372032">
      <w:pPr>
        <w:pStyle w:val="TOC2"/>
        <w:ind w:left="0" w:firstLine="1"/>
      </w:pPr>
      <w:r w:rsidRPr="000C7107">
        <w:t>Performance statements</w:t>
      </w:r>
      <w:r>
        <w:tab/>
      </w:r>
      <w:r>
        <w:rPr>
          <w:webHidden/>
        </w:rPr>
        <w:t>6, 20</w:t>
      </w:r>
    </w:p>
    <w:p w14:paraId="18D242A3" w14:textId="77777777" w:rsidR="00372032" w:rsidRDefault="00372032" w:rsidP="00372032">
      <w:pPr>
        <w:pStyle w:val="TOC2"/>
        <w:ind w:left="0" w:firstLine="1"/>
      </w:pPr>
      <w:r w:rsidRPr="00F52760">
        <w:t>Financial performance and statements</w:t>
      </w:r>
      <w:r>
        <w:rPr>
          <w:webHidden/>
        </w:rPr>
        <w:tab/>
        <w:t>26</w:t>
      </w:r>
    </w:p>
    <w:p w14:paraId="55533058" w14:textId="77777777" w:rsidR="00372032" w:rsidRDefault="00372032" w:rsidP="00372032">
      <w:pPr>
        <w:pStyle w:val="TOC2"/>
        <w:ind w:left="0" w:firstLine="1"/>
      </w:pPr>
      <w:r w:rsidRPr="00C918CB">
        <w:fldChar w:fldCharType="end"/>
      </w:r>
    </w:p>
    <w:p w14:paraId="73728498" w14:textId="77777777" w:rsidR="00372032" w:rsidRPr="00953FDE" w:rsidRDefault="00372032" w:rsidP="00372032">
      <w:pPr>
        <w:pStyle w:val="TOC2"/>
        <w:ind w:left="0" w:firstLine="1"/>
      </w:pPr>
      <w:r w:rsidRPr="00953FDE">
        <w:rPr>
          <w:rStyle w:val="Strong"/>
        </w:rPr>
        <w:t>Management and accountability</w:t>
      </w:r>
      <w:r w:rsidRPr="00182BD1">
        <w:rPr>
          <w:rStyle w:val="Strong"/>
        </w:rPr>
        <w:tab/>
      </w:r>
      <w:r>
        <w:rPr>
          <w:rStyle w:val="Strong"/>
        </w:rPr>
        <w:t>29</w:t>
      </w:r>
    </w:p>
    <w:p w14:paraId="0B55B940" w14:textId="77777777" w:rsidR="00372032" w:rsidRDefault="00372032" w:rsidP="00372032">
      <w:pPr>
        <w:pStyle w:val="TOC2"/>
        <w:ind w:left="0" w:firstLine="1"/>
      </w:pPr>
      <w:r>
        <w:t>Corporate governance</w:t>
      </w:r>
      <w:r>
        <w:tab/>
      </w:r>
      <w:r>
        <w:rPr>
          <w:webHidden/>
        </w:rPr>
        <w:t>24</w:t>
      </w:r>
    </w:p>
    <w:p w14:paraId="72B093CE" w14:textId="77777777" w:rsidR="00372032" w:rsidRDefault="00372032" w:rsidP="00372032">
      <w:pPr>
        <w:pStyle w:val="TOC2"/>
        <w:ind w:left="0" w:firstLine="1"/>
      </w:pPr>
      <w:r w:rsidRPr="00672672">
        <w:t>External scrutiny</w:t>
      </w:r>
      <w:r>
        <w:rPr>
          <w:webHidden/>
        </w:rPr>
        <w:tab/>
        <w:t>29</w:t>
      </w:r>
    </w:p>
    <w:p w14:paraId="7B233194" w14:textId="77777777" w:rsidR="00372032" w:rsidRDefault="00372032" w:rsidP="00372032">
      <w:pPr>
        <w:pStyle w:val="TOC2"/>
        <w:ind w:left="0" w:firstLine="1"/>
        <w:rPr>
          <w:webHidden/>
        </w:rPr>
      </w:pPr>
      <w:r>
        <w:t>Management of human resources</w:t>
      </w:r>
      <w:r>
        <w:rPr>
          <w:webHidden/>
        </w:rPr>
        <w:tab/>
        <w:t>29</w:t>
      </w:r>
    </w:p>
    <w:p w14:paraId="103202C4" w14:textId="77777777" w:rsidR="00372032" w:rsidRDefault="00372032" w:rsidP="00372032">
      <w:pPr>
        <w:pStyle w:val="TOC2"/>
        <w:ind w:left="0" w:firstLine="1"/>
        <w:rPr>
          <w:webHidden/>
        </w:rPr>
      </w:pPr>
      <w:r>
        <w:t>Purchasing</w:t>
      </w:r>
      <w:r>
        <w:rPr>
          <w:webHidden/>
        </w:rPr>
        <w:tab/>
        <w:t>32</w:t>
      </w:r>
    </w:p>
    <w:p w14:paraId="69A0C063" w14:textId="77777777" w:rsidR="00372032" w:rsidRDefault="00372032" w:rsidP="00372032">
      <w:pPr>
        <w:pStyle w:val="TOC2"/>
        <w:ind w:left="0" w:firstLine="1"/>
        <w:rPr>
          <w:webHidden/>
        </w:rPr>
      </w:pPr>
      <w:r>
        <w:t>Consultants</w:t>
      </w:r>
      <w:r>
        <w:rPr>
          <w:webHidden/>
        </w:rPr>
        <w:tab/>
        <w:t>32</w:t>
      </w:r>
    </w:p>
    <w:p w14:paraId="57019617" w14:textId="77777777" w:rsidR="00372032" w:rsidRDefault="00372032" w:rsidP="00372032">
      <w:pPr>
        <w:pStyle w:val="TOC2"/>
        <w:ind w:left="0" w:firstLine="1"/>
        <w:rPr>
          <w:webHidden/>
        </w:rPr>
      </w:pPr>
      <w:r>
        <w:t>Small business</w:t>
      </w:r>
      <w:r>
        <w:rPr>
          <w:webHidden/>
        </w:rPr>
        <w:tab/>
        <w:t>32</w:t>
      </w:r>
    </w:p>
    <w:p w14:paraId="72E7E16B" w14:textId="77777777" w:rsidR="00372032" w:rsidRDefault="00372032" w:rsidP="00372032">
      <w:pPr>
        <w:pStyle w:val="TOC2"/>
        <w:ind w:left="0" w:firstLine="1"/>
        <w:rPr>
          <w:webHidden/>
        </w:rPr>
      </w:pPr>
      <w:r>
        <w:t>Executive remuneration</w:t>
      </w:r>
      <w:r>
        <w:rPr>
          <w:webHidden/>
        </w:rPr>
        <w:tab/>
        <w:t>30</w:t>
      </w:r>
    </w:p>
    <w:p w14:paraId="44BFC9BF" w14:textId="77777777" w:rsidR="00372032" w:rsidRDefault="00372032" w:rsidP="00372032">
      <w:pPr>
        <w:pStyle w:val="TOC2"/>
        <w:ind w:left="0" w:firstLine="1"/>
        <w:rPr>
          <w:webHidden/>
        </w:rPr>
      </w:pPr>
      <w:r w:rsidRPr="00672672">
        <w:t>Advertising and market research</w:t>
      </w:r>
      <w:r>
        <w:t xml:space="preserve"> </w:t>
      </w:r>
      <w:r>
        <w:rPr>
          <w:webHidden/>
        </w:rPr>
        <w:tab/>
        <w:t>32</w:t>
      </w:r>
    </w:p>
    <w:p w14:paraId="0CAB723E" w14:textId="77777777" w:rsidR="00372032" w:rsidRDefault="00372032" w:rsidP="00372032">
      <w:pPr>
        <w:pStyle w:val="TOC2"/>
        <w:ind w:left="0" w:firstLine="1"/>
        <w:rPr>
          <w:webHidden/>
        </w:rPr>
      </w:pPr>
      <w:r w:rsidRPr="00672672">
        <w:t>Discretionary grants</w:t>
      </w:r>
      <w:r>
        <w:tab/>
      </w:r>
      <w:r>
        <w:rPr>
          <w:webHidden/>
        </w:rPr>
        <w:t>32</w:t>
      </w:r>
    </w:p>
    <w:p w14:paraId="284A5D70" w14:textId="77777777" w:rsidR="00372032" w:rsidRDefault="00372032" w:rsidP="00372032">
      <w:pPr>
        <w:pStyle w:val="TOC2"/>
        <w:ind w:left="0" w:firstLine="1"/>
      </w:pPr>
      <w:r>
        <w:t>Commonwealth disability strategy</w:t>
      </w:r>
      <w:r>
        <w:tab/>
      </w:r>
      <w:r>
        <w:rPr>
          <w:webHidden/>
        </w:rPr>
        <w:t>31</w:t>
      </w:r>
    </w:p>
    <w:p w14:paraId="47EF4BE8" w14:textId="77777777" w:rsidR="00372032" w:rsidRDefault="00372032" w:rsidP="00372032">
      <w:pPr>
        <w:pStyle w:val="TOC2"/>
        <w:ind w:left="0" w:firstLine="1"/>
      </w:pPr>
      <w:r w:rsidRPr="00672672">
        <w:t>Freedom of information</w:t>
      </w:r>
      <w:r>
        <w:tab/>
      </w:r>
      <w:r>
        <w:rPr>
          <w:webHidden/>
        </w:rPr>
        <w:t>33</w:t>
      </w:r>
    </w:p>
    <w:p w14:paraId="423FE24A" w14:textId="77777777" w:rsidR="00372032" w:rsidRPr="009459FD" w:rsidRDefault="00372032" w:rsidP="00372032">
      <w:pPr>
        <w:pStyle w:val="TOC2"/>
        <w:ind w:left="0" w:firstLine="1"/>
        <w:rPr>
          <w:webHidden/>
        </w:rPr>
      </w:pPr>
      <w:r>
        <w:t>Regulatory Impact Statements</w:t>
      </w:r>
      <w:r>
        <w:tab/>
      </w:r>
      <w:r>
        <w:rPr>
          <w:webHidden/>
        </w:rPr>
        <w:t>33</w:t>
      </w:r>
    </w:p>
    <w:p w14:paraId="6C197654" w14:textId="27D91703" w:rsidR="00372032" w:rsidRDefault="00372032" w:rsidP="00372032">
      <w:pPr>
        <w:pStyle w:val="TOC2"/>
      </w:pPr>
      <w:r w:rsidRPr="00C918CB">
        <w:fldChar w:fldCharType="end"/>
      </w:r>
      <w:r w:rsidRPr="00C918CB">
        <w:fldChar w:fldCharType="end"/>
      </w:r>
      <w:r w:rsidR="000A2F14" w:rsidRPr="00FA0841">
        <w:fldChar w:fldCharType="begin"/>
      </w:r>
      <w:r w:rsidR="000A2F14" w:rsidRPr="00FA0841">
        <w:instrText xml:space="preserve"> TOC \h \z \t "Table Main Heading,2" </w:instrText>
      </w:r>
      <w:r w:rsidR="000A2F14" w:rsidRPr="00FA0841">
        <w:fldChar w:fldCharType="separate"/>
      </w:r>
    </w:p>
    <w:p w14:paraId="571C693D" w14:textId="4A4E8933" w:rsidR="006555DE" w:rsidRDefault="000A2F14" w:rsidP="002D7047">
      <w:pPr>
        <w:pStyle w:val="TOC2"/>
        <w:ind w:left="0" w:firstLine="1"/>
      </w:pPr>
      <w:r w:rsidRPr="00FA0841">
        <w:fldChar w:fldCharType="end"/>
      </w:r>
    </w:p>
    <w:p w14:paraId="5389B07B" w14:textId="77777777" w:rsidR="002D0C50" w:rsidRDefault="002D0C50" w:rsidP="00382254">
      <w:pPr>
        <w:pStyle w:val="Heading1"/>
        <w:sectPr w:rsidR="002D0C50" w:rsidSect="007B72E6">
          <w:headerReference w:type="even" r:id="rId29"/>
          <w:headerReference w:type="default" r:id="rId30"/>
          <w:footerReference w:type="even" r:id="rId31"/>
          <w:footerReference w:type="default" r:id="rId32"/>
          <w:headerReference w:type="first" r:id="rId33"/>
          <w:footerReference w:type="first" r:id="rId34"/>
          <w:pgSz w:w="11907" w:h="16840" w:code="9"/>
          <w:pgMar w:top="2466" w:right="2098" w:bottom="2466" w:left="2098" w:header="1899" w:footer="1899" w:gutter="0"/>
          <w:pgBorders w:offsetFrom="page">
            <w:bottom w:val="single" w:sz="2" w:space="24" w:color="1F497D" w:themeColor="text2"/>
          </w:pgBorders>
          <w:pgNumType w:fmt="lowerRoman"/>
          <w:cols w:space="720"/>
          <w:titlePg/>
          <w:docGrid w:linePitch="286"/>
        </w:sectPr>
      </w:pPr>
      <w:bookmarkStart w:id="38" w:name="_Toc204591268"/>
      <w:bookmarkStart w:id="39" w:name="_Toc204591382"/>
      <w:bookmarkStart w:id="40" w:name="_Toc207163402"/>
      <w:bookmarkStart w:id="41" w:name="_Toc332277148"/>
      <w:bookmarkStart w:id="42" w:name="_Toc362608062"/>
    </w:p>
    <w:p w14:paraId="571C693F" w14:textId="5B5088F4" w:rsidR="006555DE" w:rsidRPr="00E765C4" w:rsidRDefault="00CC73CE" w:rsidP="00834C81">
      <w:pPr>
        <w:pStyle w:val="Heading1"/>
      </w:pPr>
      <w:bookmarkStart w:id="43" w:name="_Toc174632375"/>
      <w:r>
        <w:lastRenderedPageBreak/>
        <w:t>Part </w:t>
      </w:r>
      <w:r w:rsidR="00AE7C57" w:rsidRPr="00E765C4">
        <w:t>1</w:t>
      </w:r>
      <w:r w:rsidR="00CD2FE5">
        <w:t xml:space="preserve"> – </w:t>
      </w:r>
      <w:bookmarkEnd w:id="38"/>
      <w:bookmarkEnd w:id="39"/>
      <w:bookmarkEnd w:id="40"/>
      <w:bookmarkEnd w:id="41"/>
      <w:r w:rsidR="00A352C1" w:rsidRPr="00E765C4">
        <w:t>B</w:t>
      </w:r>
      <w:r w:rsidR="00AE7C57" w:rsidRPr="00E765C4">
        <w:t>ackground</w:t>
      </w:r>
      <w:bookmarkEnd w:id="42"/>
      <w:bookmarkEnd w:id="43"/>
    </w:p>
    <w:p w14:paraId="571C6940" w14:textId="35303610" w:rsidR="006555DE" w:rsidRPr="00733089" w:rsidRDefault="00AE7C57" w:rsidP="00286051">
      <w:pPr>
        <w:pStyle w:val="Heading2"/>
      </w:pPr>
      <w:bookmarkStart w:id="44" w:name="_Toc143338224"/>
      <w:bookmarkStart w:id="45" w:name="_Toc143340290"/>
      <w:bookmarkStart w:id="46" w:name="_Toc143418664"/>
      <w:bookmarkStart w:id="47" w:name="_Toc143420173"/>
      <w:bookmarkStart w:id="48" w:name="_Toc177204242"/>
      <w:bookmarkStart w:id="49" w:name="_Toc204589437"/>
      <w:bookmarkStart w:id="50" w:name="_Toc204589534"/>
      <w:bookmarkStart w:id="51" w:name="_Toc204590126"/>
      <w:bookmarkStart w:id="52" w:name="_Toc204591209"/>
      <w:bookmarkStart w:id="53" w:name="_Toc204591269"/>
      <w:bookmarkStart w:id="54" w:name="_Toc204591383"/>
      <w:bookmarkStart w:id="55" w:name="_Toc207163403"/>
      <w:bookmarkStart w:id="56" w:name="_Toc332277149"/>
      <w:bookmarkStart w:id="57" w:name="_Toc362608063"/>
      <w:bookmarkStart w:id="58" w:name="_Toc174632376"/>
      <w:r w:rsidRPr="00733089">
        <w:t>Who we are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71C6941" w14:textId="3C01F399" w:rsidR="00AE7C57" w:rsidRDefault="00AE7C57" w:rsidP="00C04CA9">
      <w:r>
        <w:t>The Takeovers Panel is a peer review body</w:t>
      </w:r>
      <w:r>
        <w:rPr>
          <w:rStyle w:val="FootnoteReference"/>
        </w:rPr>
        <w:footnoteReference w:id="2"/>
      </w:r>
      <w:r>
        <w:t xml:space="preserve"> established as </w:t>
      </w:r>
      <w:r w:rsidR="008941F8">
        <w:rPr>
          <w:rStyle w:val="Emphasis"/>
        </w:rPr>
        <w:t>‘</w:t>
      </w:r>
      <w:r w:rsidRPr="006E3ECE">
        <w:rPr>
          <w:rStyle w:val="Emphasis"/>
        </w:rPr>
        <w:t>a specialist body largely comprised of takeover experts</w:t>
      </w:r>
      <w:r w:rsidR="008941F8">
        <w:rPr>
          <w:rStyle w:val="Emphasis"/>
        </w:rPr>
        <w:t>’</w:t>
      </w:r>
      <w:r w:rsidR="006B6647">
        <w:rPr>
          <w:i/>
        </w:rPr>
        <w:t xml:space="preserve"> </w:t>
      </w:r>
      <w:r>
        <w:rPr>
          <w:rStyle w:val="FootnoteReference"/>
        </w:rPr>
        <w:footnoteReference w:id="3"/>
      </w:r>
      <w:r w:rsidR="00661B65">
        <w:t xml:space="preserve"> </w:t>
      </w:r>
      <w:r>
        <w:t>that is the main forum for resolving disputes in takeovers.</w:t>
      </w:r>
      <w:r>
        <w:rPr>
          <w:rStyle w:val="FootnoteReference"/>
        </w:rPr>
        <w:footnoteReference w:id="4"/>
      </w:r>
      <w:r w:rsidR="00661B65">
        <w:t xml:space="preserve"> </w:t>
      </w:r>
      <w:r>
        <w:t xml:space="preserve">It consists </w:t>
      </w:r>
      <w:r w:rsidR="00DD63FE">
        <w:t>at 30</w:t>
      </w:r>
      <w:r w:rsidR="00610152">
        <w:t> </w:t>
      </w:r>
      <w:r w:rsidR="00DD63FE">
        <w:t>June</w:t>
      </w:r>
      <w:r w:rsidR="00610152">
        <w:t> </w:t>
      </w:r>
      <w:r w:rsidR="00400C95">
        <w:t>20</w:t>
      </w:r>
      <w:r w:rsidR="0042256C">
        <w:t>2</w:t>
      </w:r>
      <w:r w:rsidR="005225AF">
        <w:t>4</w:t>
      </w:r>
      <w:r w:rsidR="00DD63FE">
        <w:t xml:space="preserve"> </w:t>
      </w:r>
      <w:r>
        <w:t xml:space="preserve">of </w:t>
      </w:r>
      <w:r w:rsidR="00E26EF5" w:rsidRPr="009F6890">
        <w:t>5</w:t>
      </w:r>
      <w:r w:rsidR="00952D6F">
        <w:t>2</w:t>
      </w:r>
      <w:r w:rsidR="00610152">
        <w:t> </w:t>
      </w:r>
      <w:r w:rsidRPr="009F6890">
        <w:t>sp</w:t>
      </w:r>
      <w:r>
        <w:t>ecialists in mergers and acquisitions</w:t>
      </w:r>
      <w:r w:rsidR="00CD2FE5">
        <w:t xml:space="preserve"> – </w:t>
      </w:r>
      <w:r>
        <w:t>investment bankers, lawyers, company d</w:t>
      </w:r>
      <w:r w:rsidR="00457943">
        <w:t xml:space="preserve">irectors </w:t>
      </w:r>
      <w:r w:rsidR="003B66A2">
        <w:t>and</w:t>
      </w:r>
      <w:r w:rsidR="00457943">
        <w:t xml:space="preserve"> other professionals.</w:t>
      </w:r>
    </w:p>
    <w:p w14:paraId="571C6942" w14:textId="77777777" w:rsidR="00457943" w:rsidRDefault="006555DE" w:rsidP="00C04CA9">
      <w:r w:rsidRPr="001271BF">
        <w:t xml:space="preserve">The </w:t>
      </w:r>
      <w:r w:rsidR="00457943">
        <w:t xml:space="preserve">Panel, </w:t>
      </w:r>
      <w:r w:rsidRPr="001271BF">
        <w:t>established in January 1991</w:t>
      </w:r>
      <w:r w:rsidR="00457943">
        <w:t xml:space="preserve">, underwent </w:t>
      </w:r>
      <w:r w:rsidRPr="001271BF">
        <w:t>changes to its structure and role in March 2000</w:t>
      </w:r>
      <w:r w:rsidR="006B6647">
        <w:t xml:space="preserve">. </w:t>
      </w:r>
      <w:r w:rsidR="00457943">
        <w:t>It operates under:</w:t>
      </w:r>
    </w:p>
    <w:p w14:paraId="571C6943" w14:textId="78B4AB97" w:rsidR="006555DE" w:rsidRPr="001271BF" w:rsidRDefault="00CC73CE" w:rsidP="00C04CA9">
      <w:pPr>
        <w:pStyle w:val="Bullet"/>
      </w:pPr>
      <w:r>
        <w:t>Part </w:t>
      </w:r>
      <w:r w:rsidR="006555DE" w:rsidRPr="001271BF">
        <w:t xml:space="preserve">6.10 of the </w:t>
      </w:r>
      <w:r w:rsidR="006555DE" w:rsidRPr="008941F8">
        <w:rPr>
          <w:rStyle w:val="Emphasis"/>
        </w:rPr>
        <w:t>Corporations Act 2001</w:t>
      </w:r>
      <w:r w:rsidR="002C3D8A">
        <w:rPr>
          <w:i/>
        </w:rPr>
        <w:t xml:space="preserve"> </w:t>
      </w:r>
      <w:r w:rsidR="002C3D8A" w:rsidRPr="002C3D8A">
        <w:t>(Cth)</w:t>
      </w:r>
      <w:r w:rsidR="006555DE" w:rsidRPr="002C3D8A">
        <w:t xml:space="preserve"> (</w:t>
      </w:r>
      <w:r w:rsidR="006555DE" w:rsidRPr="001271BF">
        <w:t>Corporations Act)</w:t>
      </w:r>
      <w:r w:rsidR="00D04E8C" w:rsidRPr="001271BF">
        <w:fldChar w:fldCharType="begin"/>
      </w:r>
      <w:r w:rsidR="006555DE" w:rsidRPr="001271BF">
        <w:instrText>xe "Corporations Act</w:instrText>
      </w:r>
      <w:r w:rsidR="00EE564A">
        <w:instrText> </w:instrText>
      </w:r>
      <w:r w:rsidR="006555DE" w:rsidRPr="001271BF">
        <w:instrText>2001 (Cth)"</w:instrText>
      </w:r>
      <w:r w:rsidR="00D04E8C" w:rsidRPr="001271BF">
        <w:fldChar w:fldCharType="end"/>
      </w:r>
    </w:p>
    <w:p w14:paraId="571C6944" w14:textId="144EA184" w:rsidR="006555DE" w:rsidRPr="001271BF" w:rsidRDefault="00CC73CE" w:rsidP="00C04CA9">
      <w:pPr>
        <w:pStyle w:val="Bullet"/>
      </w:pPr>
      <w:r>
        <w:t>Part </w:t>
      </w:r>
      <w:r w:rsidR="006555DE" w:rsidRPr="001271BF">
        <w:t xml:space="preserve">10 of the </w:t>
      </w:r>
      <w:r w:rsidR="006555DE" w:rsidRPr="008941F8">
        <w:rPr>
          <w:rStyle w:val="Emphasis"/>
        </w:rPr>
        <w:t>Australian Securities and Investment</w:t>
      </w:r>
      <w:r w:rsidR="00E46D3D" w:rsidRPr="008941F8">
        <w:rPr>
          <w:rStyle w:val="Emphasis"/>
        </w:rPr>
        <w:t>s</w:t>
      </w:r>
      <w:r w:rsidR="006555DE" w:rsidRPr="008941F8">
        <w:rPr>
          <w:rStyle w:val="Emphasis"/>
        </w:rPr>
        <w:t xml:space="preserve"> Commission Act 2001</w:t>
      </w:r>
      <w:r w:rsidR="006555DE" w:rsidRPr="001271BF">
        <w:t xml:space="preserve"> </w:t>
      </w:r>
      <w:r w:rsidR="002C3D8A">
        <w:t xml:space="preserve">(Cth) </w:t>
      </w:r>
      <w:r w:rsidR="006555DE" w:rsidRPr="001271BF">
        <w:t>(ASIC</w:t>
      </w:r>
      <w:r w:rsidR="006B6647">
        <w:t> </w:t>
      </w:r>
      <w:r w:rsidR="006555DE" w:rsidRPr="001271BF">
        <w:t>Act)</w:t>
      </w:r>
      <w:r w:rsidR="00DB5CC0" w:rsidRPr="001271BF">
        <w:t xml:space="preserve"> </w:t>
      </w:r>
    </w:p>
    <w:p w14:paraId="571C6945" w14:textId="46C003A7" w:rsidR="006555DE" w:rsidRPr="001271BF" w:rsidRDefault="00CC73CE" w:rsidP="00C04CA9">
      <w:pPr>
        <w:pStyle w:val="Bullet"/>
      </w:pPr>
      <w:r>
        <w:t>Part </w:t>
      </w:r>
      <w:r w:rsidR="006555DE" w:rsidRPr="001271BF">
        <w:t>3</w:t>
      </w:r>
      <w:r w:rsidR="006555DE" w:rsidRPr="0054254A">
        <w:rPr>
          <w:spacing w:val="-6"/>
        </w:rPr>
        <w:t xml:space="preserve"> </w:t>
      </w:r>
      <w:r w:rsidR="006555DE" w:rsidRPr="001271BF">
        <w:t>of</w:t>
      </w:r>
      <w:r w:rsidR="006555DE" w:rsidRPr="0054254A">
        <w:rPr>
          <w:spacing w:val="-6"/>
        </w:rPr>
        <w:t xml:space="preserve"> </w:t>
      </w:r>
      <w:r w:rsidR="006555DE" w:rsidRPr="001271BF">
        <w:t>the</w:t>
      </w:r>
      <w:r w:rsidR="006555DE" w:rsidRPr="0054254A">
        <w:rPr>
          <w:spacing w:val="-6"/>
        </w:rPr>
        <w:t xml:space="preserve"> </w:t>
      </w:r>
      <w:r w:rsidR="006555DE" w:rsidRPr="008941F8">
        <w:rPr>
          <w:rStyle w:val="Emphasis"/>
        </w:rPr>
        <w:t>Australian Securities and Investments Commission Regulations 2001</w:t>
      </w:r>
      <w:r w:rsidR="0054254A" w:rsidRPr="0054254A">
        <w:rPr>
          <w:spacing w:val="-6"/>
        </w:rPr>
        <w:t xml:space="preserve"> </w:t>
      </w:r>
      <w:r w:rsidR="002C3D8A">
        <w:t>(Cth)</w:t>
      </w:r>
      <w:r w:rsidR="00EE37EB">
        <w:t xml:space="preserve"> (ASIC</w:t>
      </w:r>
      <w:r w:rsidR="0056135E">
        <w:t> </w:t>
      </w:r>
      <w:r w:rsidR="00EE37EB">
        <w:t>Regulations)</w:t>
      </w:r>
      <w:r w:rsidR="006555DE" w:rsidRPr="001271BF">
        <w:t>.</w:t>
      </w:r>
    </w:p>
    <w:p w14:paraId="137069A8" w14:textId="77777777" w:rsidR="0056135E" w:rsidRPr="00610152" w:rsidRDefault="0056135E" w:rsidP="00610152">
      <w:bookmarkStart w:id="59" w:name="_Toc332277151"/>
      <w:bookmarkStart w:id="60" w:name="_Toc362608064"/>
      <w:bookmarkStart w:id="61" w:name="_Toc332277150"/>
      <w:r>
        <w:br w:type="page"/>
      </w:r>
    </w:p>
    <w:p w14:paraId="571C6946" w14:textId="35658A1E" w:rsidR="00BF74F4" w:rsidRPr="00271644" w:rsidRDefault="00BF74F4" w:rsidP="00286051">
      <w:pPr>
        <w:pStyle w:val="Heading2"/>
      </w:pPr>
      <w:bookmarkStart w:id="62" w:name="_Toc174632377"/>
      <w:r w:rsidRPr="00733089">
        <w:lastRenderedPageBreak/>
        <w:t>Our website</w:t>
      </w:r>
      <w:bookmarkEnd w:id="62"/>
    </w:p>
    <w:p w14:paraId="571C6947" w14:textId="1ECF16DA" w:rsidR="00BF74F4" w:rsidRPr="001271BF" w:rsidRDefault="00BF74F4" w:rsidP="00C04CA9">
      <w:r w:rsidRPr="001271BF">
        <w:t>The Panel</w:t>
      </w:r>
      <w:r w:rsidR="008941F8">
        <w:t>’</w:t>
      </w:r>
      <w:r>
        <w:t>s</w:t>
      </w:r>
      <w:r w:rsidRPr="001271BF">
        <w:t xml:space="preserve"> website (</w:t>
      </w:r>
      <w:hyperlink r:id="rId35" w:history="1">
        <w:r w:rsidR="00883634" w:rsidRPr="00707D8A">
          <w:rPr>
            <w:rStyle w:val="Hyperlink"/>
          </w:rPr>
          <w:t>www.takeovers.gov.au</w:t>
        </w:r>
      </w:hyperlink>
      <w:r w:rsidRPr="001271BF">
        <w:t xml:space="preserve">) </w:t>
      </w:r>
      <w:r>
        <w:t>includes</w:t>
      </w:r>
      <w:r w:rsidRPr="001271BF">
        <w:t>:</w:t>
      </w:r>
    </w:p>
    <w:p w14:paraId="571C6948" w14:textId="78E77166" w:rsidR="00BF74F4" w:rsidRPr="00271644" w:rsidRDefault="00BF74F4" w:rsidP="00271644">
      <w:pPr>
        <w:pStyle w:val="Bullet"/>
      </w:pPr>
      <w:r w:rsidRPr="00271644">
        <w:t>media releases</w:t>
      </w:r>
    </w:p>
    <w:p w14:paraId="571C6949" w14:textId="4B0446C6" w:rsidR="00BF74F4" w:rsidRPr="00271644" w:rsidRDefault="00BF74F4" w:rsidP="00271644">
      <w:pPr>
        <w:pStyle w:val="Bullet"/>
      </w:pPr>
      <w:r w:rsidRPr="00271644">
        <w:t>reasons for decision</w:t>
      </w:r>
      <w:r w:rsidR="00516ADF" w:rsidRPr="00271644">
        <w:t>s</w:t>
      </w:r>
      <w:r w:rsidR="00B52B37" w:rsidRPr="00271644">
        <w:t xml:space="preserve"> and an index of decisions</w:t>
      </w:r>
    </w:p>
    <w:p w14:paraId="571C694A" w14:textId="77945C3A" w:rsidR="00BF74F4" w:rsidRPr="00271644" w:rsidRDefault="00101288" w:rsidP="00271644">
      <w:pPr>
        <w:pStyle w:val="Bullet"/>
      </w:pPr>
      <w:r w:rsidRPr="00271644">
        <w:t>a description of the Panel and its operations and a guide to the takeover provisions in the Corporations Act</w:t>
      </w:r>
    </w:p>
    <w:p w14:paraId="571C694B" w14:textId="4393C9DB" w:rsidR="00BF74F4" w:rsidRPr="00271644" w:rsidRDefault="00BF74F4" w:rsidP="00271644">
      <w:pPr>
        <w:pStyle w:val="Bullet"/>
      </w:pPr>
      <w:r w:rsidRPr="00271644">
        <w:t>Guidance Notes</w:t>
      </w:r>
    </w:p>
    <w:p w14:paraId="571C694C" w14:textId="6B1ACB11" w:rsidR="00BF74F4" w:rsidRPr="00271644" w:rsidRDefault="009A4D32" w:rsidP="00271644">
      <w:pPr>
        <w:pStyle w:val="Bullet"/>
      </w:pPr>
      <w:r w:rsidRPr="00271644">
        <w:t>consultation papers</w:t>
      </w:r>
    </w:p>
    <w:p w14:paraId="571C694D" w14:textId="247AA155" w:rsidR="00BF74F4" w:rsidRPr="00271644" w:rsidRDefault="009A4D32" w:rsidP="00271644">
      <w:pPr>
        <w:pStyle w:val="Bullet"/>
      </w:pPr>
      <w:r w:rsidRPr="00271644">
        <w:t>Procedural Rules</w:t>
      </w:r>
    </w:p>
    <w:p w14:paraId="571C694E" w14:textId="0B99B822" w:rsidR="00B52B37" w:rsidRPr="00271644" w:rsidRDefault="00B52B37" w:rsidP="00271644">
      <w:pPr>
        <w:pStyle w:val="Bullet"/>
      </w:pPr>
      <w:r w:rsidRPr="00271644">
        <w:t>privacy policy</w:t>
      </w:r>
    </w:p>
    <w:p w14:paraId="571C694F" w14:textId="06324CE4" w:rsidR="0017604F" w:rsidRPr="00C04CA9" w:rsidRDefault="00101288" w:rsidP="00C04CA9">
      <w:pPr>
        <w:pStyle w:val="Bullet"/>
      </w:pPr>
      <w:r w:rsidRPr="00C04CA9">
        <w:t>annual reports</w:t>
      </w:r>
    </w:p>
    <w:p w14:paraId="571C6950" w14:textId="2CA4480C" w:rsidR="00BF74F4" w:rsidRPr="00C04CA9" w:rsidRDefault="0017604F" w:rsidP="00C04CA9">
      <w:pPr>
        <w:pStyle w:val="Bullet"/>
      </w:pPr>
      <w:r w:rsidRPr="00C04CA9">
        <w:t>legislative</w:t>
      </w:r>
      <w:r w:rsidR="000A7AD9" w:rsidRPr="00C04CA9">
        <w:t xml:space="preserve"> resources and other background material relating to mergers and</w:t>
      </w:r>
      <w:r w:rsidR="00545102">
        <w:t> </w:t>
      </w:r>
      <w:r w:rsidR="000A7AD9" w:rsidRPr="00C04CA9">
        <w:t>acquisitions</w:t>
      </w:r>
    </w:p>
    <w:p w14:paraId="571C6951" w14:textId="376B81A1" w:rsidR="00BF74F4" w:rsidRPr="00C04CA9" w:rsidRDefault="000A7AD9" w:rsidP="00C04CA9">
      <w:pPr>
        <w:pStyle w:val="Bullet"/>
      </w:pPr>
      <w:r w:rsidRPr="00C04CA9">
        <w:t>the Panel</w:t>
      </w:r>
      <w:r w:rsidR="008941F8">
        <w:t>’</w:t>
      </w:r>
      <w:r w:rsidRPr="00C04CA9">
        <w:t>s</w:t>
      </w:r>
      <w:r w:rsidR="00BF74F4" w:rsidRPr="00C04CA9">
        <w:t xml:space="preserve"> Information Publication Scheme.</w:t>
      </w:r>
    </w:p>
    <w:p w14:paraId="571C6952" w14:textId="114D111A" w:rsidR="00BF74F4" w:rsidRDefault="00BF74F4" w:rsidP="00BF74F4">
      <w:r w:rsidRPr="001271BF">
        <w:t xml:space="preserve">Interested persons may </w:t>
      </w:r>
      <w:r>
        <w:t>subscribe to</w:t>
      </w:r>
      <w:r w:rsidRPr="001271BF">
        <w:t xml:space="preserve"> the Panel</w:t>
      </w:r>
      <w:r w:rsidR="008941F8">
        <w:t>’</w:t>
      </w:r>
      <w:r w:rsidRPr="001271BF">
        <w:t xml:space="preserve">s </w:t>
      </w:r>
      <w:r w:rsidR="002C3D8A">
        <w:t xml:space="preserve">website </w:t>
      </w:r>
      <w:r w:rsidRPr="001271BF">
        <w:t>to be notified when new items are</w:t>
      </w:r>
      <w:r w:rsidR="0056135E">
        <w:t> </w:t>
      </w:r>
      <w:r w:rsidRPr="001271BF">
        <w:t>posted</w:t>
      </w:r>
      <w:r w:rsidRPr="001722E5">
        <w:t>.</w:t>
      </w:r>
    </w:p>
    <w:p w14:paraId="571C6953" w14:textId="77777777" w:rsidR="00AE7C57" w:rsidRPr="00215EE5" w:rsidRDefault="00AE7C57" w:rsidP="00286051">
      <w:pPr>
        <w:pStyle w:val="Heading2"/>
      </w:pPr>
      <w:bookmarkStart w:id="63" w:name="_Toc332277152"/>
      <w:bookmarkStart w:id="64" w:name="_Toc362608065"/>
      <w:bookmarkStart w:id="65" w:name="_Toc174632378"/>
      <w:bookmarkEnd w:id="59"/>
      <w:bookmarkEnd w:id="60"/>
      <w:r w:rsidRPr="0056135E">
        <w:t>Who</w:t>
      </w:r>
      <w:r w:rsidRPr="00215EE5">
        <w:t xml:space="preserve"> to contact</w:t>
      </w:r>
      <w:bookmarkEnd w:id="63"/>
      <w:bookmarkEnd w:id="64"/>
      <w:bookmarkEnd w:id="65"/>
    </w:p>
    <w:p w14:paraId="571C6954" w14:textId="77777777" w:rsidR="00AE7C57" w:rsidRPr="008F3140" w:rsidRDefault="00AE7C57" w:rsidP="00AE7C57">
      <w:r w:rsidRPr="008F3140">
        <w:t>Enquiries</w:t>
      </w:r>
      <w:r w:rsidRPr="008F3140">
        <w:fldChar w:fldCharType="begin"/>
      </w:r>
      <w:r w:rsidRPr="008F3140">
        <w:instrText>xe "Enquiries"</w:instrText>
      </w:r>
      <w:r w:rsidRPr="008F3140">
        <w:fldChar w:fldCharType="end"/>
      </w:r>
      <w:r w:rsidRPr="008F3140">
        <w:t xml:space="preserve"> regarding this report may be directed to:</w:t>
      </w:r>
    </w:p>
    <w:p w14:paraId="571C6955" w14:textId="738B1A26" w:rsidR="00AE7C57" w:rsidRPr="008F3140" w:rsidRDefault="00AE7C57" w:rsidP="00AE7C57">
      <w:r w:rsidRPr="008F3140">
        <w:t>Mr Allan Bulman</w:t>
      </w:r>
      <w:r>
        <w:br/>
      </w:r>
      <w:r w:rsidR="00E26EF5">
        <w:t>Chief Executive</w:t>
      </w:r>
      <w:r w:rsidRPr="008F3140">
        <w:t>, Takeovers Panel</w:t>
      </w:r>
      <w:r>
        <w:br/>
      </w:r>
      <w:r w:rsidRPr="008F3140">
        <w:t>Level 1</w:t>
      </w:r>
      <w:r w:rsidR="008A7406">
        <w:t>6</w:t>
      </w:r>
      <w:r w:rsidRPr="008F3140">
        <w:t xml:space="preserve">, </w:t>
      </w:r>
      <w:r w:rsidR="008A7406">
        <w:t>530 Collins Street</w:t>
      </w:r>
      <w:r>
        <w:br/>
      </w:r>
      <w:r w:rsidRPr="008F3140">
        <w:t>Melbourne VIC 3000</w:t>
      </w:r>
      <w:r>
        <w:br/>
      </w:r>
      <w:r w:rsidRPr="008F3140">
        <w:t xml:space="preserve">Telephone: </w:t>
      </w:r>
      <w:r w:rsidR="00BF74F4">
        <w:t xml:space="preserve">+61 </w:t>
      </w:r>
      <w:r w:rsidRPr="008F3140">
        <w:t>3 9655 3500</w:t>
      </w:r>
      <w:r>
        <w:br/>
      </w:r>
      <w:r w:rsidRPr="008F3140">
        <w:t xml:space="preserve">Email: </w:t>
      </w:r>
      <w:hyperlink r:id="rId36" w:history="1">
        <w:r w:rsidR="0034331C" w:rsidRPr="00741E2F">
          <w:rPr>
            <w:rStyle w:val="Hyperlink"/>
          </w:rPr>
          <w:t>takeovers@takeovers.gov.au</w:t>
        </w:r>
      </w:hyperlink>
    </w:p>
    <w:p w14:paraId="571C6956" w14:textId="77777777" w:rsidR="00673F64" w:rsidRDefault="006555DE" w:rsidP="005A5651">
      <w:bookmarkStart w:id="66" w:name="_Toc113248329"/>
      <w:bookmarkStart w:id="67" w:name="_Toc148348456"/>
      <w:bookmarkStart w:id="68" w:name="_Toc177204245"/>
      <w:bookmarkStart w:id="69" w:name="_Toc204589440"/>
      <w:bookmarkStart w:id="70" w:name="_Toc204589535"/>
      <w:bookmarkStart w:id="71" w:name="_Toc204590129"/>
      <w:bookmarkStart w:id="72" w:name="_Toc204591212"/>
      <w:bookmarkStart w:id="73" w:name="_Toc204591272"/>
      <w:bookmarkStart w:id="74" w:name="_Toc204591386"/>
      <w:bookmarkStart w:id="75" w:name="_Toc207163406"/>
      <w:bookmarkEnd w:id="61"/>
      <w:r w:rsidRPr="009448D8">
        <w:rPr>
          <w:highlight w:val="lightGray"/>
        </w:rPr>
        <w:br w:type="page"/>
      </w:r>
    </w:p>
    <w:p w14:paraId="2D6581E4" w14:textId="5DD1FA67" w:rsidR="00A1287C" w:rsidRPr="006E1412" w:rsidRDefault="00A1287C" w:rsidP="00A1287C">
      <w:pPr>
        <w:pStyle w:val="Heading2"/>
      </w:pPr>
      <w:r w:rsidRPr="006E1412">
        <w:rPr>
          <w:noProof/>
        </w:rPr>
        <w:lastRenderedPageBreak/>
        <w:drawing>
          <wp:anchor distT="0" distB="0" distL="114300" distR="252095" simplePos="0" relativeHeight="251658240" behindDoc="0" locked="0" layoutInCell="1" allowOverlap="0" wp14:anchorId="68EC69CF" wp14:editId="5BD422FC">
            <wp:simplePos x="0" y="0"/>
            <wp:positionH relativeFrom="column">
              <wp:posOffset>1270</wp:posOffset>
            </wp:positionH>
            <wp:positionV relativeFrom="paragraph">
              <wp:posOffset>0</wp:posOffset>
            </wp:positionV>
            <wp:extent cx="1785600" cy="2520000"/>
            <wp:effectExtent l="0" t="0" r="5715" b="0"/>
            <wp:wrapSquare wrapText="r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37" cstate="print">
                      <a:extLst>
                        <a:ext uri="{28A0092B-C50C-407E-A947-70E740481C1C}">
                          <a14:useLocalDpi xmlns:a14="http://schemas.microsoft.com/office/drawing/2010/main" val="0"/>
                        </a:ext>
                      </a:extLst>
                    </a:blip>
                    <a:srcRect t="-1"/>
                    <a:stretch/>
                  </pic:blipFill>
                  <pic:spPr bwMode="auto">
                    <a:xfrm>
                      <a:off x="0" y="0"/>
                      <a:ext cx="17856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76" w:name="_Toc174632379"/>
      <w:bookmarkStart w:id="77" w:name="_Toc204591213"/>
      <w:bookmarkStart w:id="78" w:name="_Toc143338233"/>
      <w:bookmarkStart w:id="79" w:name="_Toc143340299"/>
      <w:bookmarkStart w:id="80" w:name="_Toc143418673"/>
      <w:bookmarkStart w:id="81" w:name="_Toc143420182"/>
      <w:bookmarkStart w:id="82" w:name="_Toc177204256"/>
      <w:bookmarkStart w:id="83" w:name="_Toc204589442"/>
      <w:bookmarkStart w:id="84" w:name="_Toc204589536"/>
      <w:bookmarkStart w:id="85" w:name="_Toc204590131"/>
      <w:bookmarkStart w:id="86" w:name="_Toc204591273"/>
      <w:bookmarkStart w:id="87" w:name="_Toc204591387"/>
      <w:bookmarkStart w:id="88" w:name="_Toc207163407"/>
      <w:bookmarkStart w:id="89" w:name="_Toc332277155"/>
      <w:bookmarkEnd w:id="66"/>
      <w:bookmarkEnd w:id="67"/>
      <w:bookmarkEnd w:id="68"/>
      <w:bookmarkEnd w:id="69"/>
      <w:bookmarkEnd w:id="70"/>
      <w:bookmarkEnd w:id="71"/>
      <w:bookmarkEnd w:id="72"/>
      <w:bookmarkEnd w:id="73"/>
      <w:bookmarkEnd w:id="74"/>
      <w:bookmarkEnd w:id="75"/>
      <w:r w:rsidRPr="006E1412">
        <w:t>Review by the President</w:t>
      </w:r>
      <w:bookmarkEnd w:id="76"/>
      <w:r w:rsidRPr="006E1412">
        <w:fldChar w:fldCharType="begin"/>
      </w:r>
      <w:r w:rsidRPr="006E1412">
        <w:instrText>xe "President"</w:instrText>
      </w:r>
      <w:r w:rsidRPr="006E1412">
        <w:fldChar w:fldCharType="end"/>
      </w:r>
    </w:p>
    <w:p w14:paraId="120CAA43" w14:textId="2A34D8AD" w:rsidR="00A1287C" w:rsidRDefault="00A1287C" w:rsidP="00A1287C">
      <w:r>
        <w:t>The Panel’s workload appeared to be impacted by the effects of recovering economic conditions globally in the 2023</w:t>
      </w:r>
      <w:r>
        <w:softHyphen/>
      </w:r>
      <w:r>
        <w:softHyphen/>
      </w:r>
      <w:r>
        <w:softHyphen/>
        <w:t>–24 financial year. During the year, the Panel experienced an extremely uneven workload, receiving 12 applications in the last quarter, with 9 of those received in the month of May (out of 25 applications for the financial year).</w:t>
      </w:r>
    </w:p>
    <w:p w14:paraId="0E188FA8" w14:textId="14466103" w:rsidR="00186972" w:rsidRDefault="00A1287C" w:rsidP="0056135E">
      <w:r>
        <w:rPr>
          <w:noProof/>
        </w:rPr>
        <mc:AlternateContent>
          <mc:Choice Requires="wps">
            <w:drawing>
              <wp:anchor distT="0" distB="0" distL="0" distR="252095" simplePos="0" relativeHeight="251659264" behindDoc="0" locked="0" layoutInCell="1" allowOverlap="1" wp14:anchorId="5F6AE10B" wp14:editId="6C6751A9">
                <wp:simplePos x="0" y="0"/>
                <wp:positionH relativeFrom="column">
                  <wp:posOffset>1270</wp:posOffset>
                </wp:positionH>
                <wp:positionV relativeFrom="paragraph">
                  <wp:posOffset>785495</wp:posOffset>
                </wp:positionV>
                <wp:extent cx="1785600" cy="417600"/>
                <wp:effectExtent l="0" t="0" r="5715" b="1905"/>
                <wp:wrapSquare wrapText="bothSides"/>
                <wp:docPr id="170669734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5600" cy="417600"/>
                        </a:xfrm>
                        <a:prstGeom prst="rect">
                          <a:avLst/>
                        </a:prstGeom>
                        <a:noFill/>
                        <a:ln w="6350">
                          <a:noFill/>
                        </a:ln>
                      </wps:spPr>
                      <wps:txbx>
                        <w:txbxContent>
                          <w:p w14:paraId="7DE688FC" w14:textId="49B53CBE" w:rsidR="00A1287C" w:rsidRPr="00A1287C" w:rsidRDefault="00A1287C" w:rsidP="00A1287C">
                            <w:pPr>
                              <w:pStyle w:val="ChartorTableNote"/>
                              <w:rPr>
                                <w:b/>
                                <w:bCs/>
                              </w:rPr>
                            </w:pPr>
                            <w:r w:rsidRPr="00A1287C">
                              <w:rPr>
                                <w:b/>
                                <w:bCs/>
                              </w:rPr>
                              <w:t>Mr Alex Cartel</w:t>
                            </w:r>
                            <w:r w:rsidRPr="00A1287C">
                              <w:rPr>
                                <w:b/>
                                <w:bCs/>
                              </w:rPr>
                              <w:br/>
                              <w:t>President of the Panel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AE10B" id="_x0000_t202" coordsize="21600,21600" o:spt="202" path="m,l,21600r21600,l21600,xe">
                <v:stroke joinstyle="miter"/>
                <v:path gradientshapeok="t" o:connecttype="rect"/>
              </v:shapetype>
              <v:shape id="Text Box 1" o:spid="_x0000_s1026" type="#_x0000_t202" alt="&quot;&quot;" style="position:absolute;margin-left:.1pt;margin-top:61.85pt;width:140.6pt;height:32.9pt;z-index:251659264;visibility:visible;mso-wrap-style:square;mso-width-percent:0;mso-height-percent:0;mso-wrap-distance-left:0;mso-wrap-distance-top:0;mso-wrap-distance-right:19.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" filled="f" stroked="f" strokeweight=".5pt">
                <v:textbox inset="0,0,0,0">
                  <w:txbxContent>
                    <w:p w14:paraId="7DE688FC" w14:textId="49B53CBE" w:rsidR="00A1287C" w:rsidRPr="00A1287C" w:rsidRDefault="00A1287C" w:rsidP="00A1287C">
                      <w:pPr>
                        <w:pStyle w:val="ChartorTableNote"/>
                        <w:rPr>
                          <w:b/>
                          <w:bCs/>
                        </w:rPr>
                      </w:pPr>
                      <w:r w:rsidRPr="00A1287C">
                        <w:rPr>
                          <w:b/>
                          <w:bCs/>
                        </w:rPr>
                        <w:t>Mr Alex Cartel</w:t>
                      </w:r>
                      <w:r w:rsidRPr="00A1287C">
                        <w:rPr>
                          <w:b/>
                          <w:bCs/>
                        </w:rPr>
                        <w:br/>
                        <w:t>President of the Panel</w:t>
                      </w:r>
                    </w:p>
                  </w:txbxContent>
                </v:textbox>
                <w10:wrap type="square"/>
              </v:shape>
            </w:pict>
          </mc:Fallback>
        </mc:AlternateContent>
      </w:r>
      <w:r w:rsidR="00186972">
        <w:t>As this influx of matters was vastly higher than the historical quarterly and monthly average for the Panel, it has led the Panel executive to commence planning to have more casual staff with takeovers experience</w:t>
      </w:r>
      <w:r w:rsidR="008941F8">
        <w:t xml:space="preserve">. </w:t>
      </w:r>
      <w:r w:rsidR="00186972">
        <w:t>I considered that is necessary in order to ensure that the Panel continues to be able to deal with applications in a timely and efficient manner</w:t>
      </w:r>
      <w:r w:rsidR="008941F8">
        <w:t xml:space="preserve">. </w:t>
      </w:r>
      <w:r w:rsidR="00186972">
        <w:t>I</w:t>
      </w:r>
      <w:r w:rsidR="000A2EBF">
        <w:t> </w:t>
      </w:r>
      <w:r w:rsidR="00186972">
        <w:t>would say, however, that it is a testament to the commitment and professionalism of the Panel members and executive that we were able to cope with such an influx of matters this year.</w:t>
      </w:r>
    </w:p>
    <w:p w14:paraId="7B8F866E" w14:textId="77944499" w:rsidR="009012B6" w:rsidRDefault="00A10A60" w:rsidP="0056135E">
      <w:r>
        <w:t>It was interesting that d</w:t>
      </w:r>
      <w:r w:rsidR="00DB3CBD">
        <w:t>uring this busy period</w:t>
      </w:r>
      <w:r>
        <w:t xml:space="preserve"> the Panel was asked to consider some novel issues</w:t>
      </w:r>
      <w:r w:rsidR="00DB3CBD">
        <w:t>, including in relation to equity derivatives (Pacific Smiles Group Limited), standstills (Metallica Metals Limited and Westgold Resources Limited)</w:t>
      </w:r>
      <w:r w:rsidR="00E32FA8">
        <w:t xml:space="preserve"> and target directors trading during the bid period (Locality Planning Energy Holdings Limited)</w:t>
      </w:r>
      <w:r w:rsidR="00B82AE3" w:rsidRPr="006E1412">
        <w:t>.</w:t>
      </w:r>
    </w:p>
    <w:p w14:paraId="29FE14AD" w14:textId="3A73AF70" w:rsidR="00A10A60" w:rsidRDefault="00EC5022" w:rsidP="00A10A60">
      <w:r>
        <w:t xml:space="preserve">The Panel over the last few years has been </w:t>
      </w:r>
      <w:r w:rsidR="00602C3C">
        <w:t xml:space="preserve">considering </w:t>
      </w:r>
      <w:r>
        <w:t>how best to deal with disruptive behaviour from parties, which has included refusing to answer brief questions</w:t>
      </w:r>
      <w:r w:rsidR="00E84E5D">
        <w:t>,</w:t>
      </w:r>
      <w:r>
        <w:t xml:space="preserve"> making highly emotive or irrelevant submissions</w:t>
      </w:r>
      <w:r w:rsidR="00E84E5D">
        <w:t xml:space="preserve"> and engaging in tactics to prolong proceedings</w:t>
      </w:r>
      <w:r w:rsidR="008941F8">
        <w:t xml:space="preserve">. </w:t>
      </w:r>
      <w:r w:rsidR="006F2848">
        <w:t>Following discussions</w:t>
      </w:r>
      <w:r w:rsidR="00E84E5D">
        <w:t xml:space="preserve"> with the Panel members and executive</w:t>
      </w:r>
      <w:r w:rsidR="006F2848">
        <w:t xml:space="preserve">, </w:t>
      </w:r>
      <w:r w:rsidR="00C10CE3">
        <w:t>I</w:t>
      </w:r>
      <w:r w:rsidR="006F2848">
        <w:t xml:space="preserve"> decided to</w:t>
      </w:r>
      <w:r w:rsidR="00C10CE3">
        <w:t xml:space="preserve"> convene a </w:t>
      </w:r>
      <w:r w:rsidR="00E84E5D">
        <w:t xml:space="preserve">Panel </w:t>
      </w:r>
      <w:r w:rsidR="00C10CE3">
        <w:t xml:space="preserve">subcommittee to consider how the Panel </w:t>
      </w:r>
      <w:r w:rsidR="00E84E5D">
        <w:t xml:space="preserve">could </w:t>
      </w:r>
      <w:r w:rsidR="00C10CE3">
        <w:t xml:space="preserve">improve its guidance, processes, and procedures </w:t>
      </w:r>
      <w:r w:rsidR="00274497">
        <w:t>to</w:t>
      </w:r>
      <w:r w:rsidR="00C10CE3">
        <w:t xml:space="preserve"> better facilitate the just, speedy, and efficient resolution of the real issues in the proceedings that come before the Panel (Improving Panel Processes Sub</w:t>
      </w:r>
      <w:r w:rsidR="008941F8">
        <w:noBreakHyphen/>
      </w:r>
      <w:r w:rsidR="00C10CE3">
        <w:t>committee)</w:t>
      </w:r>
      <w:r w:rsidR="008941F8">
        <w:t xml:space="preserve">. </w:t>
      </w:r>
    </w:p>
    <w:p w14:paraId="72A9E3CD" w14:textId="502320BB" w:rsidR="00A10A60" w:rsidRPr="006E1412" w:rsidRDefault="00274497" w:rsidP="00A10A60">
      <w:r>
        <w:t xml:space="preserve">As part of this work, </w:t>
      </w:r>
      <w:r w:rsidR="00E84E5D">
        <w:t>the Panel executive met with 17 law firms</w:t>
      </w:r>
      <w:r>
        <w:t xml:space="preserve"> </w:t>
      </w:r>
      <w:r w:rsidR="00E84E5D">
        <w:t>to receive their feedback on how to improve Panel processes</w:t>
      </w:r>
      <w:r w:rsidR="00884D5F">
        <w:t xml:space="preserve"> </w:t>
      </w:r>
      <w:r w:rsidR="00D17992">
        <w:t xml:space="preserve">with parties </w:t>
      </w:r>
      <w:r w:rsidR="00884D5F">
        <w:t>in the third quarter of the financial year</w:t>
      </w:r>
      <w:r w:rsidR="008941F8">
        <w:t xml:space="preserve">. </w:t>
      </w:r>
      <w:r w:rsidR="007836E0">
        <w:t>I</w:t>
      </w:r>
      <w:r w:rsidR="00A10A60">
        <w:t>n</w:t>
      </w:r>
      <w:r w:rsidR="007836E0">
        <w:t xml:space="preserve"> discussions with the </w:t>
      </w:r>
      <w:r w:rsidR="00C10CE3">
        <w:t>I</w:t>
      </w:r>
      <w:r w:rsidR="007836E0">
        <w:t xml:space="preserve">mproving Panel </w:t>
      </w:r>
      <w:r w:rsidR="00C10CE3">
        <w:t>P</w:t>
      </w:r>
      <w:r w:rsidR="007836E0">
        <w:t xml:space="preserve">rocesses </w:t>
      </w:r>
      <w:r w:rsidR="00C10CE3">
        <w:t>S</w:t>
      </w:r>
      <w:r w:rsidR="007836E0">
        <w:t>ub</w:t>
      </w:r>
      <w:r w:rsidR="008941F8">
        <w:noBreakHyphen/>
      </w:r>
      <w:r w:rsidR="007836E0">
        <w:t xml:space="preserve">committee and the executive I was pleased to hear that </w:t>
      </w:r>
      <w:r w:rsidR="00C90398">
        <w:t>most of</w:t>
      </w:r>
      <w:r w:rsidR="007836E0">
        <w:t xml:space="preserve"> the law firms considered that the </w:t>
      </w:r>
      <w:r w:rsidR="00C90398">
        <w:t>Panel</w:t>
      </w:r>
      <w:r w:rsidR="008941F8">
        <w:t>’</w:t>
      </w:r>
      <w:r w:rsidR="00C90398">
        <w:t>s processes were working well and some relatively minor changes to the Panel</w:t>
      </w:r>
      <w:r w:rsidR="008941F8">
        <w:t>’</w:t>
      </w:r>
      <w:r w:rsidR="00C90398">
        <w:t>s processes could in their view make a material difference</w:t>
      </w:r>
      <w:r w:rsidR="008941F8">
        <w:t xml:space="preserve">. </w:t>
      </w:r>
      <w:r w:rsidR="00A10A60">
        <w:t>I would like to thank all the law firms who participat</w:t>
      </w:r>
      <w:r w:rsidR="009B5CF2">
        <w:t>ed</w:t>
      </w:r>
      <w:r w:rsidR="00A10A60">
        <w:t xml:space="preserve"> in</w:t>
      </w:r>
      <w:r w:rsidR="002C5454">
        <w:t> </w:t>
      </w:r>
      <w:r w:rsidR="00A10A60">
        <w:t>this consultation with the executive, who provided invaluable feedback</w:t>
      </w:r>
      <w:r w:rsidR="008941F8">
        <w:t xml:space="preserve">. </w:t>
      </w:r>
      <w:r w:rsidR="003349AD">
        <w:t xml:space="preserve">We will be announcing some of the changes we propose to make in this regard </w:t>
      </w:r>
      <w:r w:rsidR="00A27115">
        <w:t>during</w:t>
      </w:r>
      <w:r w:rsidR="003349AD">
        <w:t xml:space="preserve"> the 2024</w:t>
      </w:r>
      <w:r w:rsidR="002C5454">
        <w:t>–‍</w:t>
      </w:r>
      <w:r w:rsidR="003349AD">
        <w:t>25</w:t>
      </w:r>
      <w:r w:rsidR="002C5454">
        <w:t> </w:t>
      </w:r>
      <w:r w:rsidR="003349AD">
        <w:t>financial year.</w:t>
      </w:r>
    </w:p>
    <w:p w14:paraId="7945E442" w14:textId="3EE09836" w:rsidR="001C45E5" w:rsidRDefault="00C90398" w:rsidP="0056135E">
      <w:r>
        <w:lastRenderedPageBreak/>
        <w:t>The executive also received very positive feedback from these law firms in relation to the guidance that the Panel provides to the market</w:t>
      </w:r>
      <w:r w:rsidR="00A27115">
        <w:t>, with many noting that our guidance is clearly written</w:t>
      </w:r>
      <w:r w:rsidR="00676E20">
        <w:t xml:space="preserve"> and</w:t>
      </w:r>
      <w:r w:rsidR="00A27115">
        <w:t xml:space="preserve"> can be understood by all market participants (not just lawyers)</w:t>
      </w:r>
      <w:r w:rsidR="008941F8">
        <w:t xml:space="preserve">. </w:t>
      </w:r>
      <w:r w:rsidR="004E1C05">
        <w:t>The Panel</w:t>
      </w:r>
      <w:r w:rsidR="008941F8">
        <w:t>’</w:t>
      </w:r>
      <w:r w:rsidR="004E1C05">
        <w:t xml:space="preserve">s 18 Guidance Notes assist market participants in understanding </w:t>
      </w:r>
      <w:r w:rsidR="004E1C05" w:rsidRPr="006E1412">
        <w:t>the principles and policies that the Panel will consider in deciding applications</w:t>
      </w:r>
      <w:r w:rsidR="004E1C05">
        <w:t>, which minimises the risk of being subject to a Panel application or adverse Panel finding</w:t>
      </w:r>
      <w:r w:rsidR="008941F8">
        <w:t xml:space="preserve">. </w:t>
      </w:r>
      <w:r w:rsidR="004E1C05">
        <w:t>Accordingly</w:t>
      </w:r>
      <w:r w:rsidR="00676E20">
        <w:t>,</w:t>
      </w:r>
      <w:r w:rsidR="004E1C05">
        <w:t xml:space="preserve"> providing guidance is one way in which we can ensure the prompt resolution of takeover disputes and minimise the number of those disputes</w:t>
      </w:r>
      <w:r w:rsidR="008941F8">
        <w:t xml:space="preserve">. </w:t>
      </w:r>
    </w:p>
    <w:p w14:paraId="374100AF" w14:textId="46CFC981" w:rsidR="00676E20" w:rsidRPr="006E1412" w:rsidRDefault="007A6696" w:rsidP="00676E20">
      <w:pPr>
        <w:spacing w:before="120"/>
      </w:pPr>
      <w:r w:rsidRPr="006E1412">
        <w:t>At 30 June 202</w:t>
      </w:r>
      <w:r w:rsidR="004E2A11">
        <w:t>4</w:t>
      </w:r>
      <w:r w:rsidRPr="006E1412">
        <w:t>, the Panel had 5</w:t>
      </w:r>
      <w:r w:rsidR="00830EAC" w:rsidRPr="006E1412">
        <w:t>2</w:t>
      </w:r>
      <w:r w:rsidRPr="006E1412">
        <w:t xml:space="preserve"> part</w:t>
      </w:r>
      <w:r w:rsidR="008941F8">
        <w:noBreakHyphen/>
      </w:r>
      <w:r w:rsidRPr="006E1412">
        <w:t>time members</w:t>
      </w:r>
      <w:r w:rsidR="00DD128C" w:rsidRPr="006E1412">
        <w:t xml:space="preserve">, </w:t>
      </w:r>
      <w:r w:rsidR="0068033A" w:rsidRPr="006E1412">
        <w:t>2</w:t>
      </w:r>
      <w:r w:rsidR="00554138">
        <w:t>8</w:t>
      </w:r>
      <w:r w:rsidR="0068033A" w:rsidRPr="006E1412">
        <w:t xml:space="preserve"> of whom </w:t>
      </w:r>
      <w:r w:rsidR="00E56D0E" w:rsidRPr="006E1412">
        <w:t>were</w:t>
      </w:r>
      <w:r w:rsidR="0068033A" w:rsidRPr="006E1412">
        <w:t xml:space="preserve"> women</w:t>
      </w:r>
      <w:r w:rsidR="008941F8">
        <w:t xml:space="preserve">. </w:t>
      </w:r>
      <w:r w:rsidR="00201334" w:rsidRPr="006E1412">
        <w:t xml:space="preserve">In </w:t>
      </w:r>
      <w:r w:rsidR="00AB2C67">
        <w:t>April</w:t>
      </w:r>
      <w:r w:rsidR="00201334" w:rsidRPr="006E1412">
        <w:t xml:space="preserve"> this year the government appointed </w:t>
      </w:r>
      <w:r w:rsidR="00AB2C67">
        <w:t>7</w:t>
      </w:r>
      <w:r w:rsidR="001224B7" w:rsidRPr="006E1412">
        <w:t xml:space="preserve"> highly credentialed Panel members</w:t>
      </w:r>
      <w:r w:rsidR="00AB2C67">
        <w:t>, all of whom have investment banking experience</w:t>
      </w:r>
      <w:r w:rsidR="008941F8">
        <w:t xml:space="preserve">. </w:t>
      </w:r>
      <w:r w:rsidR="00AB2C67">
        <w:t>At the same time several highly experienced Panel members</w:t>
      </w:r>
      <w:r w:rsidR="008941F8">
        <w:t>’</w:t>
      </w:r>
      <w:r w:rsidR="00AB2C67">
        <w:t xml:space="preserve"> terms ended</w:t>
      </w:r>
      <w:r w:rsidR="008941F8">
        <w:t xml:space="preserve"> – </w:t>
      </w:r>
      <w:r w:rsidR="00AB2C67">
        <w:t xml:space="preserve">namely </w:t>
      </w:r>
      <w:r w:rsidR="00AB2C67" w:rsidRPr="00AB2C67">
        <w:t>Mr Richard Hunt, Ms Tracey Horton AO, Mr Bill Koeck, Mr Ron Malek, Mr John O</w:t>
      </w:r>
      <w:r w:rsidR="008941F8">
        <w:t>’</w:t>
      </w:r>
      <w:r w:rsidR="00AB2C67" w:rsidRPr="00AB2C67">
        <w:t>Sullivan, Mr Tony Osmond and Ms Sharon Warburton</w:t>
      </w:r>
      <w:r w:rsidR="008941F8">
        <w:t xml:space="preserve">. </w:t>
      </w:r>
      <w:r w:rsidR="00676E20">
        <w:t xml:space="preserve">I would like to thank Richard Hunt, </w:t>
      </w:r>
      <w:r w:rsidR="00676E20" w:rsidRPr="00AB2C67">
        <w:t>Tracey Horton AO</w:t>
      </w:r>
      <w:r w:rsidR="00676E20">
        <w:t xml:space="preserve"> and Ron Malek for their service as Acting Presidents, in particular Richard who did an amazing amount of work for the Panel as an Acting President and member.</w:t>
      </w:r>
    </w:p>
    <w:p w14:paraId="7BC2DD80" w14:textId="69D685C3" w:rsidR="007B29A5" w:rsidRDefault="00731FF3" w:rsidP="007A6696">
      <w:pPr>
        <w:spacing w:before="120"/>
      </w:pPr>
      <w:r>
        <w:t>To ensure that there is a proper renewal process, the Panel executive undertakes induction training of new members</w:t>
      </w:r>
      <w:r w:rsidR="008941F8">
        <w:t xml:space="preserve">. </w:t>
      </w:r>
      <w:r>
        <w:t xml:space="preserve">I also conducted a </w:t>
      </w:r>
      <w:r w:rsidR="008941F8">
        <w:t>‘</w:t>
      </w:r>
      <w:r>
        <w:t>panel</w:t>
      </w:r>
      <w:r w:rsidR="008941F8">
        <w:t>’</w:t>
      </w:r>
      <w:r>
        <w:t xml:space="preserve"> session of Panel members who had served three and four terms at the November 2023 Panel </w:t>
      </w:r>
      <w:r w:rsidR="00D17992">
        <w:t>D</w:t>
      </w:r>
      <w:r>
        <w:t>ay</w:t>
      </w:r>
      <w:r w:rsidR="00676E20">
        <w:t>,</w:t>
      </w:r>
      <w:r>
        <w:t xml:space="preserve"> so that the Panel membership could</w:t>
      </w:r>
      <w:r w:rsidR="00676E20">
        <w:t xml:space="preserve"> receive</w:t>
      </w:r>
      <w:r>
        <w:t xml:space="preserve"> the</w:t>
      </w:r>
      <w:r w:rsidR="00676E20">
        <w:t xml:space="preserve"> </w:t>
      </w:r>
      <w:r>
        <w:t>observations and wisdom</w:t>
      </w:r>
      <w:r w:rsidR="00676E20">
        <w:t xml:space="preserve"> from their longstanding colleagues</w:t>
      </w:r>
      <w:r w:rsidR="008941F8">
        <w:t xml:space="preserve">. </w:t>
      </w:r>
    </w:p>
    <w:p w14:paraId="2F7E63EA" w14:textId="3DA81F3E" w:rsidR="00C01958" w:rsidRPr="006E1412" w:rsidRDefault="007A6696" w:rsidP="007A6696">
      <w:r w:rsidRPr="006E1412">
        <w:t>The Panel members and I greatly appreciate the support of the executive</w:t>
      </w:r>
      <w:r w:rsidR="00462498">
        <w:t>, led by Tania and Allan</w:t>
      </w:r>
      <w:r w:rsidR="008941F8">
        <w:t xml:space="preserve">. </w:t>
      </w:r>
      <w:r w:rsidR="00554138">
        <w:t xml:space="preserve">In January 2024, Karolina </w:t>
      </w:r>
      <w:r w:rsidR="00554138" w:rsidRPr="00554138">
        <w:t>Ksiezak</w:t>
      </w:r>
      <w:r w:rsidR="00554138">
        <w:t xml:space="preserve"> took up a new role in the Federal Department of Finance after over 15 years as Office Manager at the Panel</w:t>
      </w:r>
      <w:r w:rsidR="008941F8">
        <w:t xml:space="preserve">. </w:t>
      </w:r>
      <w:r w:rsidR="00554138">
        <w:t xml:space="preserve">Karolina made an outstanding contribution to the Panel </w:t>
      </w:r>
      <w:r w:rsidR="00554138" w:rsidRPr="00554138">
        <w:t xml:space="preserve">in undertaking a variety of activities including dealing with the logistics of Panel </w:t>
      </w:r>
      <w:r w:rsidR="00D17992">
        <w:t>D</w:t>
      </w:r>
      <w:r w:rsidR="00554138" w:rsidRPr="00554138">
        <w:t xml:space="preserve">ays, liaison with the Department of </w:t>
      </w:r>
      <w:r w:rsidR="00D17992">
        <w:t xml:space="preserve">the </w:t>
      </w:r>
      <w:r w:rsidR="00554138" w:rsidRPr="00554138">
        <w:t>Treasury in relation to finance, recruitment and procurement, and taking a leadership role in administration</w:t>
      </w:r>
      <w:r w:rsidR="008941F8">
        <w:t xml:space="preserve">. </w:t>
      </w:r>
      <w:r w:rsidR="00554138">
        <w:t xml:space="preserve">We have been fortunate </w:t>
      </w:r>
      <w:r w:rsidR="007B29A5">
        <w:t xml:space="preserve">to find and </w:t>
      </w:r>
      <w:r w:rsidR="00554138">
        <w:t xml:space="preserve">appoint Claudia </w:t>
      </w:r>
      <w:r w:rsidR="00554138" w:rsidRPr="00554138">
        <w:t>McCulloch</w:t>
      </w:r>
      <w:r w:rsidR="00554138">
        <w:t xml:space="preserve"> to the </w:t>
      </w:r>
      <w:r w:rsidR="007B29A5">
        <w:t xml:space="preserve">Office Manager </w:t>
      </w:r>
      <w:r w:rsidR="00554138">
        <w:t xml:space="preserve">role for a </w:t>
      </w:r>
      <w:r w:rsidR="00462498">
        <w:t>12</w:t>
      </w:r>
      <w:r w:rsidR="008941F8">
        <w:noBreakHyphen/>
      </w:r>
      <w:r w:rsidR="00462498">
        <w:t>month</w:t>
      </w:r>
      <w:r w:rsidR="00554138">
        <w:t xml:space="preserve"> period</w:t>
      </w:r>
      <w:r w:rsidR="008941F8">
        <w:t xml:space="preserve">. </w:t>
      </w:r>
      <w:r w:rsidR="00554138">
        <w:t>Claudia comes to us from the Australian Bureau of Statistics</w:t>
      </w:r>
      <w:r w:rsidR="00462498">
        <w:t xml:space="preserve"> and has quickly come up to speed in the role</w:t>
      </w:r>
      <w:r w:rsidR="008941F8">
        <w:t xml:space="preserve">. </w:t>
      </w:r>
      <w:r w:rsidR="00462498">
        <w:t xml:space="preserve">This year also marks the </w:t>
      </w:r>
      <w:r w:rsidR="009B5CF2">
        <w:t>20</w:t>
      </w:r>
      <w:r w:rsidR="008941F8">
        <w:noBreakHyphen/>
      </w:r>
      <w:r w:rsidR="009B5CF2">
        <w:t>year</w:t>
      </w:r>
      <w:r w:rsidR="00462498">
        <w:t xml:space="preserve"> anniversary for </w:t>
      </w:r>
      <w:r w:rsidR="00462498" w:rsidRPr="00462498">
        <w:t>Rebecca Andrewartha</w:t>
      </w:r>
      <w:r w:rsidR="007B29A5">
        <w:t xml:space="preserve"> as</w:t>
      </w:r>
      <w:r w:rsidR="00462498">
        <w:t xml:space="preserve"> an executive assistant</w:t>
      </w:r>
      <w:r w:rsidR="008941F8">
        <w:t xml:space="preserve">. </w:t>
      </w:r>
      <w:r w:rsidR="00462498">
        <w:t>Rebecca is our longest serving staff member</w:t>
      </w:r>
      <w:r w:rsidR="007B29A5">
        <w:t xml:space="preserve"> in the executive</w:t>
      </w:r>
      <w:r w:rsidR="008941F8">
        <w:t xml:space="preserve">. </w:t>
      </w:r>
      <w:r w:rsidR="009B5CF2">
        <w:t xml:space="preserve">Rebecca has served the Panel exceedingly well during this period and has also </w:t>
      </w:r>
      <w:r w:rsidR="00884D5F">
        <w:t xml:space="preserve">made a strong contribution </w:t>
      </w:r>
      <w:r w:rsidR="009B5CF2">
        <w:t xml:space="preserve">to </w:t>
      </w:r>
      <w:r w:rsidR="007B29A5">
        <w:t xml:space="preserve">team </w:t>
      </w:r>
      <w:r w:rsidR="00462498">
        <w:t xml:space="preserve">morale. </w:t>
      </w:r>
    </w:p>
    <w:p w14:paraId="23EB5A06" w14:textId="12138BA0" w:rsidR="00731FF3" w:rsidRDefault="00731FF3" w:rsidP="00DE031F">
      <w:r>
        <w:t xml:space="preserve">On 20 October 2023, Allan Bulman and Andrew Bubniw (our Deputy General Counsel) attended the Parliamentary </w:t>
      </w:r>
      <w:r w:rsidR="00D17992">
        <w:t xml:space="preserve">Joint </w:t>
      </w:r>
      <w:r>
        <w:t>Committee on Corporations and Financial Services as part of the Committee</w:t>
      </w:r>
      <w:r w:rsidR="008941F8">
        <w:t>’</w:t>
      </w:r>
      <w:r>
        <w:t>s oversight of the Panel and ASIC</w:t>
      </w:r>
      <w:r w:rsidR="008941F8">
        <w:t xml:space="preserve">. </w:t>
      </w:r>
      <w:r>
        <w:t>I am pleased at how positive the Committee was of the Panel, with many members pointing to the Panel</w:t>
      </w:r>
      <w:r w:rsidR="008941F8">
        <w:t>’</w:t>
      </w:r>
      <w:r>
        <w:t>s success as a dispute resolution body</w:t>
      </w:r>
      <w:r w:rsidR="008941F8">
        <w:t xml:space="preserve">. </w:t>
      </w:r>
      <w:r>
        <w:t xml:space="preserve">The Panel welcomes the scrutiny and ideas provided by </w:t>
      </w:r>
      <w:r w:rsidR="00D17992">
        <w:t xml:space="preserve">the </w:t>
      </w:r>
      <w:r>
        <w:lastRenderedPageBreak/>
        <w:t>Parliamentary</w:t>
      </w:r>
      <w:r w:rsidR="00D17992">
        <w:t xml:space="preserve"> Joint</w:t>
      </w:r>
      <w:r>
        <w:t xml:space="preserve"> Committee on Corporations and Financial Services and other government committees.</w:t>
      </w:r>
    </w:p>
    <w:p w14:paraId="18A7DA1F" w14:textId="7F0FF05A" w:rsidR="00371934" w:rsidRPr="006E1412" w:rsidRDefault="00C01958" w:rsidP="00DE031F">
      <w:r w:rsidRPr="006E1412">
        <w:t>The Panel continues to be grateful to the Federal Government and</w:t>
      </w:r>
      <w:r w:rsidR="00804AB9" w:rsidRPr="006E1412">
        <w:t xml:space="preserve"> the Department of the</w:t>
      </w:r>
      <w:r w:rsidRPr="006E1412">
        <w:t xml:space="preserve"> Treasury for their commitment to a robust, principles</w:t>
      </w:r>
      <w:r w:rsidR="008941F8">
        <w:noBreakHyphen/>
      </w:r>
      <w:r w:rsidRPr="006E1412">
        <w:t xml:space="preserve">based Panel regime and for </w:t>
      </w:r>
      <w:r w:rsidR="00F61194" w:rsidRPr="006E1412">
        <w:t>their</w:t>
      </w:r>
      <w:r w:rsidRPr="006E1412">
        <w:t xml:space="preserve"> ongoing support</w:t>
      </w:r>
      <w:r w:rsidR="008941F8">
        <w:t xml:space="preserve">. </w:t>
      </w:r>
      <w:r w:rsidR="005E1DA7">
        <w:t>During the 2023</w:t>
      </w:r>
      <w:r w:rsidR="002C5454">
        <w:t>–</w:t>
      </w:r>
      <w:r w:rsidR="005E1DA7">
        <w:t xml:space="preserve">24 financial year, the Department of the Treasury provided us with a secondee (from their Legal Division) and during the busy period </w:t>
      </w:r>
      <w:r w:rsidR="009B5CF2">
        <w:t xml:space="preserve">allowed </w:t>
      </w:r>
      <w:r w:rsidR="005E1DA7">
        <w:t xml:space="preserve">a senior staff member </w:t>
      </w:r>
      <w:r w:rsidR="00676E20">
        <w:t xml:space="preserve">from Markets Group </w:t>
      </w:r>
      <w:r w:rsidR="005E1DA7">
        <w:t xml:space="preserve">with takeovers experience </w:t>
      </w:r>
      <w:r w:rsidR="009B5CF2">
        <w:t xml:space="preserve">to assist us </w:t>
      </w:r>
      <w:r w:rsidR="005E1DA7">
        <w:t>on a temporary basis, which was really appreciated by Tania and Allan.</w:t>
      </w:r>
    </w:p>
    <w:p w14:paraId="5F51689F" w14:textId="037CB48D" w:rsidR="007B16AC" w:rsidRPr="006E1412" w:rsidRDefault="007B16AC" w:rsidP="007B16AC">
      <w:pPr>
        <w:spacing w:before="120" w:after="360"/>
      </w:pPr>
      <w:r w:rsidRPr="006E1412">
        <w:t>I am pleased to report on our performance for the 202</w:t>
      </w:r>
      <w:r w:rsidR="005E1DA7">
        <w:t>3</w:t>
      </w:r>
      <w:r w:rsidR="002C5454">
        <w:t>–</w:t>
      </w:r>
      <w:r w:rsidR="00C5292C" w:rsidRPr="006E1412">
        <w:t>2</w:t>
      </w:r>
      <w:r w:rsidR="005E1DA7">
        <w:t>4</w:t>
      </w:r>
      <w:r w:rsidRPr="006E1412">
        <w:t xml:space="preserve"> financial year.</w:t>
      </w:r>
    </w:p>
    <w:p w14:paraId="35E33E7A" w14:textId="77777777" w:rsidR="007B16AC" w:rsidRPr="006E1412" w:rsidRDefault="007B16AC" w:rsidP="007B16AC">
      <w:pPr>
        <w:tabs>
          <w:tab w:val="left" w:pos="1884"/>
          <w:tab w:val="left" w:pos="3030"/>
        </w:tabs>
        <w:spacing w:line="240" w:lineRule="auto"/>
      </w:pPr>
      <w:r w:rsidRPr="006E1412">
        <w:rPr>
          <w:noProof/>
          <w:lang w:eastAsia="en-AU"/>
        </w:rPr>
        <w:drawing>
          <wp:inline distT="0" distB="0" distL="0" distR="0" wp14:anchorId="66E5A980" wp14:editId="13A4865E">
            <wp:extent cx="1520190" cy="884555"/>
            <wp:effectExtent l="0" t="0" r="3810" b="0"/>
            <wp:docPr id="5" name="Picture 5" descr="Alex Cartel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ex Cartel signature&#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20190" cy="884555"/>
                    </a:xfrm>
                    <a:prstGeom prst="rect">
                      <a:avLst/>
                    </a:prstGeom>
                  </pic:spPr>
                </pic:pic>
              </a:graphicData>
            </a:graphic>
          </wp:inline>
        </w:drawing>
      </w:r>
    </w:p>
    <w:p w14:paraId="69E08F48" w14:textId="77777777" w:rsidR="007B16AC" w:rsidRDefault="007B16AC" w:rsidP="007B16AC">
      <w:pPr>
        <w:tabs>
          <w:tab w:val="left" w:pos="1884"/>
          <w:tab w:val="left" w:pos="3030"/>
        </w:tabs>
        <w:spacing w:before="480" w:after="0"/>
      </w:pPr>
      <w:r w:rsidRPr="006E1412">
        <w:t>Alex Cartel</w:t>
      </w:r>
      <w:r w:rsidRPr="006E1412">
        <w:br/>
        <w:t>President</w:t>
      </w:r>
    </w:p>
    <w:p w14:paraId="571C6961" w14:textId="553C508E" w:rsidR="004448E7" w:rsidRDefault="004448E7" w:rsidP="005620F8">
      <w:pPr>
        <w:spacing w:before="120"/>
      </w:pPr>
      <w:r>
        <w:br w:type="page"/>
      </w:r>
    </w:p>
    <w:p w14:paraId="571C6962" w14:textId="427342B7" w:rsidR="002406A9" w:rsidRPr="00BC447F" w:rsidRDefault="002406A9" w:rsidP="00286051">
      <w:pPr>
        <w:pStyle w:val="Heading2"/>
      </w:pPr>
      <w:bookmarkStart w:id="90" w:name="_Toc174632380"/>
      <w:bookmarkStart w:id="91" w:name="_Toc362608069"/>
      <w:r w:rsidRPr="00BC447F">
        <w:lastRenderedPageBreak/>
        <w:t>Panel at a glance 20</w:t>
      </w:r>
      <w:r w:rsidR="00EA75E8" w:rsidRPr="00BC447F">
        <w:t>2</w:t>
      </w:r>
      <w:r w:rsidR="00C914BF" w:rsidRPr="00BC447F">
        <w:t>3</w:t>
      </w:r>
      <w:r w:rsidR="00550FAF" w:rsidRPr="00BC447F">
        <w:t>–</w:t>
      </w:r>
      <w:r w:rsidR="008A7406" w:rsidRPr="00BC447F">
        <w:t>2</w:t>
      </w:r>
      <w:r w:rsidR="00C914BF" w:rsidRPr="00BC447F">
        <w:t>4</w:t>
      </w:r>
      <w:bookmarkEnd w:id="90"/>
      <w:r w:rsidR="007B16AC" w:rsidRPr="00BC447F">
        <w:fldChar w:fldCharType="begin"/>
      </w:r>
      <w:r w:rsidR="007B16AC" w:rsidRPr="00BC447F">
        <w:instrText>xe "Matters"</w:instrText>
      </w:r>
      <w:r w:rsidR="007B16AC" w:rsidRPr="00BC447F">
        <w:fldChar w:fldCharType="end"/>
      </w:r>
      <w:r w:rsidR="008140AE" w:rsidRPr="00BC447F">
        <w:fldChar w:fldCharType="begin"/>
      </w:r>
      <w:r w:rsidR="008140AE" w:rsidRPr="00BC447F">
        <w:instrText>xe "Applications"</w:instrText>
      </w:r>
      <w:r w:rsidR="008140AE" w:rsidRPr="00BC447F">
        <w:fldChar w:fldCharType="end"/>
      </w:r>
    </w:p>
    <w:tbl>
      <w:tblPr>
        <w:tblStyle w:val="TableGridLight"/>
        <w:tblW w:w="5000" w:type="pct"/>
        <w:tblCellMar>
          <w:top w:w="113" w:type="dxa"/>
          <w:bottom w:w="113" w:type="dxa"/>
        </w:tblCellMar>
        <w:tblLook w:val="04A0" w:firstRow="1" w:lastRow="0" w:firstColumn="1" w:lastColumn="0" w:noHBand="0" w:noVBand="1"/>
      </w:tblPr>
      <w:tblGrid>
        <w:gridCol w:w="6091"/>
        <w:gridCol w:w="425"/>
        <w:gridCol w:w="1185"/>
      </w:tblGrid>
      <w:tr w:rsidR="00A136E1" w:rsidRPr="00512EC1" w14:paraId="571C6968" w14:textId="77777777" w:rsidTr="00270FEE">
        <w:trPr>
          <w:trHeight w:val="964"/>
        </w:trPr>
        <w:tc>
          <w:tcPr>
            <w:tcW w:w="6091" w:type="dxa"/>
            <w:tcBorders>
              <w:bottom w:val="single" w:sz="4" w:space="0" w:color="BFBFBF" w:themeColor="background1" w:themeShade="BF"/>
              <w:right w:val="single" w:sz="4" w:space="0" w:color="FFFFFF" w:themeColor="background1"/>
            </w:tcBorders>
          </w:tcPr>
          <w:p w14:paraId="571C6963" w14:textId="0ADBF043" w:rsidR="00722B97" w:rsidRPr="003065A1" w:rsidRDefault="006E2C33" w:rsidP="00A12848">
            <w:pPr>
              <w:pStyle w:val="TableColumnHeadingLeft"/>
              <w:rPr>
                <w:rFonts w:eastAsia="Batang"/>
                <w:sz w:val="20"/>
                <w:szCs w:val="22"/>
              </w:rPr>
            </w:pPr>
            <w:r w:rsidRPr="003065A1">
              <w:rPr>
                <w:sz w:val="20"/>
                <w:szCs w:val="22"/>
              </w:rPr>
              <w:t>Applications</w:t>
            </w:r>
          </w:p>
          <w:p w14:paraId="571C6965" w14:textId="3E189BEF" w:rsidR="00722B97" w:rsidRPr="003065A1" w:rsidRDefault="00722B97" w:rsidP="00B45A6D">
            <w:pPr>
              <w:pStyle w:val="TableTextLeft-Arial"/>
              <w:rPr>
                <w:sz w:val="20"/>
                <w:szCs w:val="22"/>
              </w:rPr>
            </w:pPr>
            <w:r w:rsidRPr="003065A1">
              <w:t>(average 2</w:t>
            </w:r>
            <w:r w:rsidR="003065A1">
              <w:t>7.2</w:t>
            </w:r>
            <w:r w:rsidRPr="003065A1">
              <w:t xml:space="preserve"> </w:t>
            </w:r>
            <w:r w:rsidR="00DD667E" w:rsidRPr="003065A1">
              <w:t>per </w:t>
            </w:r>
            <w:r w:rsidRPr="003065A1">
              <w:t>year since 1 July 2000)</w:t>
            </w:r>
          </w:p>
        </w:tc>
        <w:tc>
          <w:tcPr>
            <w:tcW w:w="425" w:type="dxa"/>
            <w:tcBorders>
              <w:left w:val="single" w:sz="4" w:space="0" w:color="FFFFFF" w:themeColor="background1"/>
              <w:bottom w:val="single" w:sz="4" w:space="0" w:color="BFBFBF" w:themeColor="background1" w:themeShade="BF"/>
              <w:right w:val="nil"/>
            </w:tcBorders>
          </w:tcPr>
          <w:p w14:paraId="571C6966" w14:textId="2AC60BC8" w:rsidR="00722B97" w:rsidRPr="003065A1" w:rsidRDefault="00722B97" w:rsidP="00B45A6D">
            <w:pPr>
              <w:pStyle w:val="TableTextLeft-Arial"/>
              <w:rPr>
                <w:sz w:val="20"/>
                <w:szCs w:val="22"/>
              </w:rPr>
            </w:pPr>
          </w:p>
        </w:tc>
        <w:tc>
          <w:tcPr>
            <w:tcW w:w="1185" w:type="dxa"/>
            <w:tcBorders>
              <w:left w:val="nil"/>
              <w:bottom w:val="single" w:sz="4" w:space="0" w:color="BFBFBF" w:themeColor="background1" w:themeShade="BF"/>
            </w:tcBorders>
            <w:shd w:val="clear" w:color="auto" w:fill="F2F2F2" w:themeFill="background1" w:themeFillShade="F2"/>
            <w:vAlign w:val="center"/>
          </w:tcPr>
          <w:p w14:paraId="571C6967" w14:textId="742913D6" w:rsidR="00722B97" w:rsidRPr="003065A1" w:rsidRDefault="003065A1" w:rsidP="006E166C">
            <w:pPr>
              <w:pStyle w:val="TableTextLeft-ArialBoldHeading"/>
              <w:jc w:val="center"/>
              <w:rPr>
                <w:rFonts w:eastAsia="Batang"/>
              </w:rPr>
            </w:pPr>
            <w:r w:rsidRPr="003065A1">
              <w:rPr>
                <w:rFonts w:eastAsia="Batang"/>
              </w:rPr>
              <w:t>25</w:t>
            </w:r>
          </w:p>
        </w:tc>
      </w:tr>
      <w:tr w:rsidR="00591E49" w:rsidRPr="00512EC1" w14:paraId="571C696C" w14:textId="77777777" w:rsidTr="00270FEE">
        <w:trPr>
          <w:trHeight w:val="20"/>
        </w:trPr>
        <w:tc>
          <w:tcPr>
            <w:tcW w:w="7701" w:type="dxa"/>
            <w:gridSpan w:val="3"/>
            <w:tcBorders>
              <w:left w:val="nil"/>
              <w:bottom w:val="single" w:sz="4" w:space="0" w:color="BFBFBF" w:themeColor="background1" w:themeShade="BF"/>
              <w:right w:val="nil"/>
            </w:tcBorders>
          </w:tcPr>
          <w:p w14:paraId="571C696B" w14:textId="77777777" w:rsidR="00591E49" w:rsidRPr="00512EC1" w:rsidRDefault="00591E49" w:rsidP="001B6876">
            <w:pPr>
              <w:pStyle w:val="nospace"/>
              <w:rPr>
                <w:highlight w:val="yellow"/>
              </w:rPr>
            </w:pPr>
          </w:p>
        </w:tc>
      </w:tr>
      <w:tr w:rsidR="00564F2C" w:rsidRPr="00512EC1" w14:paraId="571C6973" w14:textId="77777777" w:rsidTr="00270FEE">
        <w:trPr>
          <w:trHeight w:val="964"/>
        </w:trPr>
        <w:tc>
          <w:tcPr>
            <w:tcW w:w="6091" w:type="dxa"/>
            <w:tcBorders>
              <w:bottom w:val="single" w:sz="4" w:space="0" w:color="BFBFBF" w:themeColor="background1" w:themeShade="BF"/>
              <w:right w:val="single" w:sz="4" w:space="0" w:color="FFFFFF" w:themeColor="background1"/>
            </w:tcBorders>
          </w:tcPr>
          <w:p w14:paraId="571C696D" w14:textId="495FEF18" w:rsidR="00564F2C" w:rsidRPr="001B0B5F" w:rsidRDefault="00564F2C" w:rsidP="00A12848">
            <w:pPr>
              <w:pStyle w:val="TableColumnHeadingLeft"/>
              <w:rPr>
                <w:sz w:val="20"/>
                <w:szCs w:val="22"/>
              </w:rPr>
            </w:pPr>
            <w:r w:rsidRPr="001B0B5F">
              <w:rPr>
                <w:sz w:val="20"/>
                <w:szCs w:val="22"/>
              </w:rPr>
              <w:t>Matters the Panel conducted proceedings in</w:t>
            </w:r>
          </w:p>
          <w:p w14:paraId="571C696F" w14:textId="313ECDE2" w:rsidR="00564F2C" w:rsidRPr="00512EC1" w:rsidRDefault="00564F2C" w:rsidP="00B45A6D">
            <w:pPr>
              <w:pStyle w:val="TableTextLeft-Arial"/>
              <w:rPr>
                <w:sz w:val="20"/>
                <w:szCs w:val="22"/>
                <w:highlight w:val="yellow"/>
              </w:rPr>
            </w:pPr>
            <w:r w:rsidRPr="001B0B5F">
              <w:t>(average 5</w:t>
            </w:r>
            <w:r w:rsidR="00421A5B" w:rsidRPr="001B0B5F">
              <w:t>4</w:t>
            </w:r>
            <w:r w:rsidRPr="001B0B5F">
              <w:t>.</w:t>
            </w:r>
            <w:r w:rsidR="001B0B5F" w:rsidRPr="001B0B5F">
              <w:t>23</w:t>
            </w:r>
            <w:r w:rsidRPr="001B0B5F">
              <w:t xml:space="preserve">% since </w:t>
            </w:r>
            <w:r w:rsidR="004F5755">
              <w:t>1 July</w:t>
            </w:r>
            <w:r w:rsidRPr="001B0B5F">
              <w:t xml:space="preserve"> 2000)</w:t>
            </w:r>
          </w:p>
        </w:tc>
        <w:tc>
          <w:tcPr>
            <w:tcW w:w="425" w:type="dxa"/>
            <w:tcBorders>
              <w:left w:val="single" w:sz="4" w:space="0" w:color="FFFFFF" w:themeColor="background1"/>
              <w:bottom w:val="single" w:sz="4" w:space="0" w:color="BFBFBF" w:themeColor="background1" w:themeShade="BF"/>
              <w:right w:val="single" w:sz="4" w:space="0" w:color="FFFFFF" w:themeColor="background1"/>
            </w:tcBorders>
          </w:tcPr>
          <w:p w14:paraId="571C6971" w14:textId="6AFAA26F" w:rsidR="00564F2C" w:rsidRPr="00512EC1" w:rsidRDefault="00564F2C" w:rsidP="00B45A6D">
            <w:pPr>
              <w:pStyle w:val="TableTextLeft-Arial"/>
              <w:rPr>
                <w:sz w:val="20"/>
                <w:szCs w:val="22"/>
                <w:highlight w:val="yellow"/>
              </w:rPr>
            </w:pPr>
          </w:p>
        </w:tc>
        <w:tc>
          <w:tcPr>
            <w:tcW w:w="1185" w:type="dxa"/>
            <w:tcBorders>
              <w:left w:val="single" w:sz="4" w:space="0" w:color="FFFFFF" w:themeColor="background1"/>
              <w:bottom w:val="single" w:sz="4" w:space="0" w:color="BFBFBF" w:themeColor="background1" w:themeShade="BF"/>
            </w:tcBorders>
            <w:shd w:val="clear" w:color="auto" w:fill="F2F2F2" w:themeFill="background1" w:themeFillShade="F2"/>
            <w:vAlign w:val="center"/>
          </w:tcPr>
          <w:p w14:paraId="571C6972" w14:textId="29BAF507" w:rsidR="00564F2C" w:rsidRPr="00512EC1" w:rsidRDefault="001B0B5F" w:rsidP="006E166C">
            <w:pPr>
              <w:pStyle w:val="TableTextLeft-ArialBoldHeading"/>
              <w:jc w:val="center"/>
              <w:rPr>
                <w:rFonts w:eastAsia="Batang"/>
                <w:highlight w:val="yellow"/>
              </w:rPr>
            </w:pPr>
            <w:r w:rsidRPr="001B0B5F">
              <w:rPr>
                <w:rFonts w:eastAsia="Batang"/>
              </w:rPr>
              <w:t>52.0</w:t>
            </w:r>
            <w:r w:rsidR="00564F2C" w:rsidRPr="001B0B5F">
              <w:rPr>
                <w:rFonts w:eastAsia="Batang"/>
              </w:rPr>
              <w:t>%</w:t>
            </w:r>
          </w:p>
        </w:tc>
      </w:tr>
      <w:tr w:rsidR="00564F2C" w:rsidRPr="00512EC1" w14:paraId="5BF436AE" w14:textId="77777777" w:rsidTr="00270FEE">
        <w:trPr>
          <w:trHeight w:val="20"/>
        </w:trPr>
        <w:tc>
          <w:tcPr>
            <w:tcW w:w="7701" w:type="dxa"/>
            <w:gridSpan w:val="3"/>
            <w:tcBorders>
              <w:left w:val="nil"/>
              <w:bottom w:val="single" w:sz="4" w:space="0" w:color="BFBFBF" w:themeColor="background1" w:themeShade="BF"/>
              <w:right w:val="nil"/>
            </w:tcBorders>
          </w:tcPr>
          <w:p w14:paraId="46B65553" w14:textId="15A2F1DB" w:rsidR="00564F2C" w:rsidRPr="00512EC1" w:rsidRDefault="00564F2C" w:rsidP="001B6876">
            <w:pPr>
              <w:pStyle w:val="nospace"/>
              <w:rPr>
                <w:rFonts w:eastAsia="Batang"/>
                <w:highlight w:val="yellow"/>
              </w:rPr>
            </w:pPr>
          </w:p>
        </w:tc>
      </w:tr>
      <w:tr w:rsidR="00722B97" w:rsidRPr="00512EC1" w14:paraId="571C697C" w14:textId="77777777" w:rsidTr="00270FEE">
        <w:trPr>
          <w:trHeight w:val="964"/>
        </w:trPr>
        <w:tc>
          <w:tcPr>
            <w:tcW w:w="6091" w:type="dxa"/>
            <w:tcBorders>
              <w:bottom w:val="single" w:sz="4" w:space="0" w:color="BFBFBF" w:themeColor="background1" w:themeShade="BF"/>
              <w:right w:val="single" w:sz="4" w:space="0" w:color="FFFFFF" w:themeColor="background1"/>
            </w:tcBorders>
          </w:tcPr>
          <w:p w14:paraId="571C6979" w14:textId="0B33B12F" w:rsidR="001061AF" w:rsidRPr="009C7F07" w:rsidRDefault="00EB5D3C" w:rsidP="001B6876">
            <w:pPr>
              <w:pStyle w:val="TableColumnHeadingLeft"/>
              <w:rPr>
                <w:sz w:val="20"/>
                <w:szCs w:val="22"/>
              </w:rPr>
            </w:pPr>
            <w:r w:rsidRPr="009C7F07">
              <w:rPr>
                <w:sz w:val="20"/>
                <w:szCs w:val="22"/>
              </w:rPr>
              <w:t>Matters w</w:t>
            </w:r>
            <w:r w:rsidR="00722B97" w:rsidRPr="009C7F07">
              <w:rPr>
                <w:sz w:val="20"/>
                <w:szCs w:val="22"/>
              </w:rPr>
              <w:t>here the Panel accepted</w:t>
            </w:r>
            <w:r w:rsidR="003A345C" w:rsidRPr="009C7F07">
              <w:rPr>
                <w:sz w:val="20"/>
                <w:szCs w:val="22"/>
              </w:rPr>
              <w:t> </w:t>
            </w:r>
            <w:r w:rsidR="00722B97" w:rsidRPr="009C7F07">
              <w:rPr>
                <w:sz w:val="20"/>
                <w:szCs w:val="22"/>
              </w:rPr>
              <w:t>undertakings</w:t>
            </w:r>
          </w:p>
        </w:tc>
        <w:tc>
          <w:tcPr>
            <w:tcW w:w="425" w:type="dxa"/>
            <w:tcBorders>
              <w:left w:val="single" w:sz="4" w:space="0" w:color="FFFFFF" w:themeColor="background1"/>
              <w:bottom w:val="single" w:sz="4" w:space="0" w:color="BFBFBF" w:themeColor="background1" w:themeShade="BF"/>
              <w:right w:val="single" w:sz="4" w:space="0" w:color="FFFFFF" w:themeColor="background1"/>
            </w:tcBorders>
          </w:tcPr>
          <w:p w14:paraId="571C697A" w14:textId="27961C81" w:rsidR="00722B97" w:rsidRPr="00512EC1" w:rsidRDefault="00722B97" w:rsidP="00B45A6D">
            <w:pPr>
              <w:pStyle w:val="TableTextLeft-Arial"/>
              <w:rPr>
                <w:sz w:val="20"/>
                <w:szCs w:val="22"/>
                <w:highlight w:val="yellow"/>
              </w:rPr>
            </w:pPr>
          </w:p>
        </w:tc>
        <w:tc>
          <w:tcPr>
            <w:tcW w:w="1185" w:type="dxa"/>
            <w:tcBorders>
              <w:left w:val="single" w:sz="4" w:space="0" w:color="FFFFFF" w:themeColor="background1"/>
              <w:bottom w:val="single" w:sz="4" w:space="0" w:color="BFBFBF" w:themeColor="background1" w:themeShade="BF"/>
            </w:tcBorders>
            <w:shd w:val="clear" w:color="auto" w:fill="F2F2F2" w:themeFill="background1" w:themeFillShade="F2"/>
            <w:vAlign w:val="center"/>
          </w:tcPr>
          <w:p w14:paraId="571C697B" w14:textId="6C72DFD2" w:rsidR="00722B97" w:rsidRPr="00512EC1" w:rsidRDefault="000C3681" w:rsidP="006E166C">
            <w:pPr>
              <w:pStyle w:val="TableTextLeft-ArialBoldHeading"/>
              <w:jc w:val="center"/>
              <w:rPr>
                <w:rFonts w:eastAsia="Batang"/>
                <w:highlight w:val="yellow"/>
              </w:rPr>
            </w:pPr>
            <w:r w:rsidRPr="00557596">
              <w:rPr>
                <w:rFonts w:eastAsia="Batang"/>
              </w:rPr>
              <w:t>4</w:t>
            </w:r>
          </w:p>
        </w:tc>
      </w:tr>
      <w:tr w:rsidR="00591E49" w:rsidRPr="00512EC1" w14:paraId="571C6980" w14:textId="77777777" w:rsidTr="00270FEE">
        <w:trPr>
          <w:trHeight w:val="20"/>
        </w:trPr>
        <w:tc>
          <w:tcPr>
            <w:tcW w:w="7701" w:type="dxa"/>
            <w:gridSpan w:val="3"/>
            <w:tcBorders>
              <w:left w:val="nil"/>
              <w:bottom w:val="single" w:sz="4" w:space="0" w:color="BFBFBF" w:themeColor="background1" w:themeShade="BF"/>
              <w:right w:val="nil"/>
            </w:tcBorders>
          </w:tcPr>
          <w:p w14:paraId="571C697F" w14:textId="77777777" w:rsidR="00591E49" w:rsidRPr="009C7F07" w:rsidRDefault="00591E49" w:rsidP="001B6876">
            <w:pPr>
              <w:pStyle w:val="nospace"/>
              <w:rPr>
                <w:rFonts w:eastAsia="Batang"/>
              </w:rPr>
            </w:pPr>
          </w:p>
        </w:tc>
      </w:tr>
      <w:tr w:rsidR="00722B97" w:rsidRPr="00512EC1" w14:paraId="571C6985" w14:textId="77777777" w:rsidTr="00270FEE">
        <w:trPr>
          <w:trHeight w:val="964"/>
        </w:trPr>
        <w:tc>
          <w:tcPr>
            <w:tcW w:w="6091" w:type="dxa"/>
            <w:tcBorders>
              <w:bottom w:val="single" w:sz="4" w:space="0" w:color="BFBFBF" w:themeColor="background1" w:themeShade="BF"/>
              <w:right w:val="single" w:sz="4" w:space="0" w:color="FFFFFF" w:themeColor="background1"/>
            </w:tcBorders>
          </w:tcPr>
          <w:p w14:paraId="301C54B8" w14:textId="77777777" w:rsidR="001061AF" w:rsidRPr="009C7F07" w:rsidRDefault="00EB5D3C" w:rsidP="00A12848">
            <w:pPr>
              <w:pStyle w:val="TableColumnHeadingLeft"/>
              <w:rPr>
                <w:sz w:val="20"/>
                <w:szCs w:val="22"/>
              </w:rPr>
            </w:pPr>
            <w:r w:rsidRPr="009C7F07">
              <w:rPr>
                <w:sz w:val="20"/>
                <w:szCs w:val="22"/>
              </w:rPr>
              <w:t xml:space="preserve">Matters </w:t>
            </w:r>
            <w:r w:rsidR="00722B97" w:rsidRPr="009C7F07">
              <w:rPr>
                <w:sz w:val="20"/>
                <w:szCs w:val="22"/>
              </w:rPr>
              <w:t>where the Panel made declaration</w:t>
            </w:r>
            <w:r w:rsidR="00B9518D" w:rsidRPr="009C7F07">
              <w:rPr>
                <w:sz w:val="20"/>
                <w:szCs w:val="22"/>
              </w:rPr>
              <w:t>s</w:t>
            </w:r>
            <w:r w:rsidR="001061AF" w:rsidRPr="009C7F07">
              <w:rPr>
                <w:sz w:val="20"/>
                <w:szCs w:val="22"/>
              </w:rPr>
              <w:t xml:space="preserve"> and o</w:t>
            </w:r>
            <w:r w:rsidR="00722B97" w:rsidRPr="009C7F07">
              <w:rPr>
                <w:sz w:val="20"/>
                <w:szCs w:val="22"/>
              </w:rPr>
              <w:t>rders</w:t>
            </w:r>
          </w:p>
          <w:p w14:paraId="571C6982" w14:textId="09627804" w:rsidR="000D4D0C" w:rsidRPr="009C7F07" w:rsidRDefault="000D4D0C" w:rsidP="00B45A6D">
            <w:pPr>
              <w:pStyle w:val="TableTextLeft-Arial"/>
              <w:rPr>
                <w:sz w:val="20"/>
                <w:szCs w:val="22"/>
              </w:rPr>
            </w:pPr>
            <w:r w:rsidRPr="009C7F07">
              <w:t xml:space="preserve">*plus one </w:t>
            </w:r>
            <w:r w:rsidR="009C7F07" w:rsidRPr="009C7F07">
              <w:t>declaration (no orders)</w:t>
            </w:r>
          </w:p>
        </w:tc>
        <w:tc>
          <w:tcPr>
            <w:tcW w:w="425" w:type="dxa"/>
            <w:tcBorders>
              <w:left w:val="single" w:sz="4" w:space="0" w:color="FFFFFF" w:themeColor="background1"/>
              <w:bottom w:val="single" w:sz="4" w:space="0" w:color="BFBFBF" w:themeColor="background1" w:themeShade="BF"/>
              <w:right w:val="single" w:sz="4" w:space="0" w:color="FFFFFF" w:themeColor="background1"/>
            </w:tcBorders>
          </w:tcPr>
          <w:p w14:paraId="571C6983" w14:textId="31EE2C30" w:rsidR="00722B97" w:rsidRPr="00512EC1" w:rsidRDefault="00722B97" w:rsidP="00B45A6D">
            <w:pPr>
              <w:pStyle w:val="TableTextLeft-Arial"/>
              <w:rPr>
                <w:sz w:val="20"/>
                <w:szCs w:val="22"/>
                <w:highlight w:val="yellow"/>
              </w:rPr>
            </w:pPr>
          </w:p>
        </w:tc>
        <w:tc>
          <w:tcPr>
            <w:tcW w:w="1185" w:type="dxa"/>
            <w:tcBorders>
              <w:left w:val="single" w:sz="4" w:space="0" w:color="FFFFFF" w:themeColor="background1"/>
              <w:bottom w:val="single" w:sz="4" w:space="0" w:color="BFBFBF" w:themeColor="background1" w:themeShade="BF"/>
            </w:tcBorders>
            <w:shd w:val="clear" w:color="auto" w:fill="F2F2F2" w:themeFill="background1" w:themeFillShade="F2"/>
            <w:vAlign w:val="center"/>
          </w:tcPr>
          <w:p w14:paraId="571C6984" w14:textId="5951FAED" w:rsidR="00722B97" w:rsidRPr="00512EC1" w:rsidRDefault="009C7F07" w:rsidP="006E166C">
            <w:pPr>
              <w:pStyle w:val="TableTextLeft-ArialBoldHeading"/>
              <w:jc w:val="center"/>
              <w:rPr>
                <w:rFonts w:eastAsia="Batang"/>
                <w:highlight w:val="yellow"/>
              </w:rPr>
            </w:pPr>
            <w:r w:rsidRPr="000C3681">
              <w:rPr>
                <w:rFonts w:eastAsia="Batang"/>
              </w:rPr>
              <w:t>8*</w:t>
            </w:r>
          </w:p>
        </w:tc>
      </w:tr>
      <w:tr w:rsidR="00591E49" w:rsidRPr="00512EC1" w14:paraId="571C6989" w14:textId="77777777" w:rsidTr="00270FEE">
        <w:trPr>
          <w:trHeight w:val="20"/>
        </w:trPr>
        <w:tc>
          <w:tcPr>
            <w:tcW w:w="7701" w:type="dxa"/>
            <w:gridSpan w:val="3"/>
            <w:tcBorders>
              <w:left w:val="nil"/>
              <w:bottom w:val="single" w:sz="4" w:space="0" w:color="BFBFBF" w:themeColor="background1" w:themeShade="BF"/>
              <w:right w:val="nil"/>
            </w:tcBorders>
          </w:tcPr>
          <w:p w14:paraId="571C6988" w14:textId="77777777" w:rsidR="00591E49" w:rsidRPr="00512EC1" w:rsidRDefault="00591E49" w:rsidP="001B6876">
            <w:pPr>
              <w:pStyle w:val="nospace"/>
              <w:rPr>
                <w:rFonts w:eastAsia="Batang"/>
                <w:highlight w:val="yellow"/>
              </w:rPr>
            </w:pPr>
          </w:p>
        </w:tc>
      </w:tr>
      <w:tr w:rsidR="00722B97" w:rsidRPr="00512EC1" w14:paraId="571C698F" w14:textId="77777777" w:rsidTr="00270FEE">
        <w:trPr>
          <w:trHeight w:val="964"/>
        </w:trPr>
        <w:tc>
          <w:tcPr>
            <w:tcW w:w="6091" w:type="dxa"/>
            <w:tcBorders>
              <w:bottom w:val="single" w:sz="4" w:space="0" w:color="BFBFBF" w:themeColor="background1" w:themeShade="BF"/>
              <w:right w:val="single" w:sz="4" w:space="0" w:color="FFFFFF" w:themeColor="background1"/>
            </w:tcBorders>
          </w:tcPr>
          <w:p w14:paraId="571C698A" w14:textId="4AD8DC6A" w:rsidR="00722B97" w:rsidRPr="001E1DEC" w:rsidRDefault="00722B97" w:rsidP="00A12848">
            <w:pPr>
              <w:pStyle w:val="TableColumnHeadingLeft"/>
              <w:rPr>
                <w:sz w:val="20"/>
                <w:szCs w:val="22"/>
              </w:rPr>
            </w:pPr>
            <w:r w:rsidRPr="001E1DEC">
              <w:rPr>
                <w:sz w:val="20"/>
                <w:szCs w:val="22"/>
              </w:rPr>
              <w:t>Average calendar days between application and decision</w:t>
            </w:r>
            <w:r w:rsidR="00EB0CA7" w:rsidRPr="001E1DEC">
              <w:rPr>
                <w:rStyle w:val="FootnoteReference"/>
                <w:b w:val="0"/>
                <w:bCs/>
                <w:sz w:val="20"/>
                <w:szCs w:val="22"/>
              </w:rPr>
              <w:footnoteReference w:id="5"/>
            </w:r>
          </w:p>
          <w:p w14:paraId="571C698C" w14:textId="1DB14D76" w:rsidR="00643690" w:rsidRPr="00512EC1" w:rsidRDefault="00722B97" w:rsidP="00B45A6D">
            <w:pPr>
              <w:pStyle w:val="TableTextLeft-Arial"/>
              <w:rPr>
                <w:sz w:val="20"/>
                <w:szCs w:val="22"/>
                <w:highlight w:val="yellow"/>
              </w:rPr>
            </w:pPr>
            <w:r w:rsidRPr="001E1DEC">
              <w:t xml:space="preserve">(average </w:t>
            </w:r>
            <w:r w:rsidR="00D014A1" w:rsidRPr="001E1DEC">
              <w:t>1</w:t>
            </w:r>
            <w:r w:rsidR="002351F4" w:rsidRPr="001E1DEC">
              <w:t>7</w:t>
            </w:r>
            <w:r w:rsidR="000335D6" w:rsidRPr="001E1DEC">
              <w:t>.</w:t>
            </w:r>
            <w:r w:rsidR="00326C28">
              <w:t>6</w:t>
            </w:r>
            <w:r w:rsidRPr="001E1DEC">
              <w:t xml:space="preserve"> since </w:t>
            </w:r>
            <w:r w:rsidR="004F5755">
              <w:t>1 July</w:t>
            </w:r>
            <w:r w:rsidR="002B53EE">
              <w:t xml:space="preserve"> </w:t>
            </w:r>
            <w:r w:rsidRPr="001E1DEC">
              <w:t>2000)</w:t>
            </w:r>
          </w:p>
        </w:tc>
        <w:tc>
          <w:tcPr>
            <w:tcW w:w="425" w:type="dxa"/>
            <w:tcBorders>
              <w:left w:val="single" w:sz="4" w:space="0" w:color="FFFFFF" w:themeColor="background1"/>
              <w:bottom w:val="single" w:sz="4" w:space="0" w:color="BFBFBF" w:themeColor="background1" w:themeShade="BF"/>
              <w:right w:val="single" w:sz="4" w:space="0" w:color="FFFFFF" w:themeColor="background1"/>
            </w:tcBorders>
          </w:tcPr>
          <w:p w14:paraId="571C698D" w14:textId="4F7093C8" w:rsidR="00722B97" w:rsidRPr="00512EC1" w:rsidRDefault="00722B97" w:rsidP="00B45A6D">
            <w:pPr>
              <w:pStyle w:val="TableTextLeft-Arial"/>
              <w:rPr>
                <w:sz w:val="20"/>
                <w:szCs w:val="22"/>
                <w:highlight w:val="yellow"/>
              </w:rPr>
            </w:pPr>
          </w:p>
        </w:tc>
        <w:tc>
          <w:tcPr>
            <w:tcW w:w="1185" w:type="dxa"/>
            <w:tcBorders>
              <w:left w:val="single" w:sz="4" w:space="0" w:color="FFFFFF" w:themeColor="background1"/>
              <w:bottom w:val="single" w:sz="4" w:space="0" w:color="BFBFBF" w:themeColor="background1" w:themeShade="BF"/>
            </w:tcBorders>
            <w:shd w:val="clear" w:color="auto" w:fill="F2F2F2" w:themeFill="background1" w:themeFillShade="F2"/>
            <w:vAlign w:val="center"/>
          </w:tcPr>
          <w:p w14:paraId="571C698E" w14:textId="0E7D5CD2" w:rsidR="00722B97" w:rsidRPr="00512EC1" w:rsidRDefault="008D5FA2" w:rsidP="006E166C">
            <w:pPr>
              <w:pStyle w:val="TableTextLeft-ArialBoldHeading"/>
              <w:jc w:val="center"/>
              <w:rPr>
                <w:rFonts w:eastAsia="Batang"/>
                <w:highlight w:val="yellow"/>
              </w:rPr>
            </w:pPr>
            <w:r w:rsidRPr="00670016">
              <w:rPr>
                <w:rFonts w:eastAsia="Batang"/>
              </w:rPr>
              <w:t>2</w:t>
            </w:r>
            <w:r w:rsidR="00326C28">
              <w:rPr>
                <w:rFonts w:eastAsia="Batang"/>
              </w:rPr>
              <w:t>4.9</w:t>
            </w:r>
          </w:p>
        </w:tc>
      </w:tr>
      <w:tr w:rsidR="00591E49" w:rsidRPr="00512EC1" w14:paraId="571C6993" w14:textId="77777777" w:rsidTr="00270FEE">
        <w:trPr>
          <w:trHeight w:val="20"/>
        </w:trPr>
        <w:tc>
          <w:tcPr>
            <w:tcW w:w="7701" w:type="dxa"/>
            <w:gridSpan w:val="3"/>
            <w:tcBorders>
              <w:left w:val="nil"/>
              <w:bottom w:val="single" w:sz="4" w:space="0" w:color="BFBFBF" w:themeColor="background1" w:themeShade="BF"/>
              <w:right w:val="nil"/>
            </w:tcBorders>
          </w:tcPr>
          <w:p w14:paraId="571C6992" w14:textId="77777777" w:rsidR="00591E49" w:rsidRPr="00512EC1" w:rsidRDefault="00591E49" w:rsidP="001B6876">
            <w:pPr>
              <w:pStyle w:val="nospace"/>
              <w:rPr>
                <w:rFonts w:eastAsia="Batang"/>
                <w:highlight w:val="yellow"/>
              </w:rPr>
            </w:pPr>
          </w:p>
        </w:tc>
      </w:tr>
      <w:tr w:rsidR="00722B97" w:rsidRPr="001B6876" w14:paraId="571C6998" w14:textId="77777777" w:rsidTr="001B6876">
        <w:trPr>
          <w:trHeight w:val="964"/>
        </w:trPr>
        <w:tc>
          <w:tcPr>
            <w:tcW w:w="6091" w:type="dxa"/>
            <w:tcBorders>
              <w:right w:val="single" w:sz="4" w:space="0" w:color="FFFFFF" w:themeColor="background1"/>
            </w:tcBorders>
          </w:tcPr>
          <w:p w14:paraId="571C6994" w14:textId="51CD39ED" w:rsidR="00722B97" w:rsidRPr="00D4095B" w:rsidRDefault="00722B97" w:rsidP="00A12848">
            <w:pPr>
              <w:pStyle w:val="TableColumnHeadingLeft"/>
              <w:rPr>
                <w:sz w:val="20"/>
                <w:szCs w:val="22"/>
              </w:rPr>
            </w:pPr>
            <w:r w:rsidRPr="00D4095B">
              <w:rPr>
                <w:sz w:val="20"/>
                <w:szCs w:val="22"/>
              </w:rPr>
              <w:t>Average calendar days between deci</w:t>
            </w:r>
            <w:r w:rsidR="006E2C33" w:rsidRPr="00D4095B">
              <w:rPr>
                <w:sz w:val="20"/>
                <w:szCs w:val="22"/>
              </w:rPr>
              <w:t>sion and publication</w:t>
            </w:r>
            <w:r w:rsidR="001B6876" w:rsidRPr="00D4095B">
              <w:rPr>
                <w:sz w:val="20"/>
                <w:szCs w:val="22"/>
              </w:rPr>
              <w:t> </w:t>
            </w:r>
            <w:r w:rsidR="006E2C33" w:rsidRPr="00D4095B">
              <w:rPr>
                <w:sz w:val="20"/>
                <w:szCs w:val="22"/>
              </w:rPr>
              <w:t>of</w:t>
            </w:r>
            <w:r w:rsidR="001B6876" w:rsidRPr="00D4095B">
              <w:rPr>
                <w:sz w:val="20"/>
                <w:szCs w:val="22"/>
              </w:rPr>
              <w:t> </w:t>
            </w:r>
            <w:r w:rsidR="006E2C33" w:rsidRPr="00D4095B">
              <w:rPr>
                <w:sz w:val="20"/>
                <w:szCs w:val="22"/>
              </w:rPr>
              <w:t>reasons</w:t>
            </w:r>
            <w:r w:rsidR="001E1DEC" w:rsidRPr="00D4095B">
              <w:rPr>
                <w:sz w:val="20"/>
                <w:szCs w:val="22"/>
              </w:rPr>
              <w:t>*</w:t>
            </w:r>
          </w:p>
          <w:p w14:paraId="68352F4B" w14:textId="1864E50D" w:rsidR="00722B97" w:rsidRPr="00BC447F" w:rsidRDefault="00722B97" w:rsidP="00B45A6D">
            <w:pPr>
              <w:pStyle w:val="TableTextLeft-Arial"/>
            </w:pPr>
            <w:r w:rsidRPr="00BC447F">
              <w:t>(average 3</w:t>
            </w:r>
            <w:r w:rsidR="00FE20EC">
              <w:t>4.</w:t>
            </w:r>
            <w:r w:rsidR="007140C4">
              <w:t>8</w:t>
            </w:r>
            <w:r w:rsidRPr="00BC447F">
              <w:t xml:space="preserve"> since </w:t>
            </w:r>
            <w:r w:rsidR="00D17992">
              <w:t>1 July</w:t>
            </w:r>
            <w:r w:rsidRPr="00BC447F">
              <w:t xml:space="preserve"> 2000) </w:t>
            </w:r>
          </w:p>
          <w:p w14:paraId="571C6995" w14:textId="42293DBA" w:rsidR="001E1DEC" w:rsidRPr="00512EC1" w:rsidRDefault="001E1DEC" w:rsidP="00B45A6D">
            <w:pPr>
              <w:pStyle w:val="TableTextLeft-Arial"/>
              <w:rPr>
                <w:sz w:val="20"/>
                <w:szCs w:val="22"/>
                <w:highlight w:val="yellow"/>
              </w:rPr>
            </w:pPr>
            <w:r w:rsidRPr="00BC447F">
              <w:rPr>
                <w:szCs w:val="22"/>
              </w:rPr>
              <w:t>*</w:t>
            </w:r>
            <w:r w:rsidR="00517D7B">
              <w:rPr>
                <w:szCs w:val="22"/>
              </w:rPr>
              <w:t>for applications received during the 2023</w:t>
            </w:r>
            <w:r w:rsidR="002C5454">
              <w:rPr>
                <w:szCs w:val="22"/>
              </w:rPr>
              <w:t>–</w:t>
            </w:r>
            <w:r w:rsidR="00517D7B">
              <w:rPr>
                <w:szCs w:val="22"/>
              </w:rPr>
              <w:t xml:space="preserve">24 </w:t>
            </w:r>
            <w:r w:rsidR="005C3036">
              <w:rPr>
                <w:szCs w:val="22"/>
              </w:rPr>
              <w:t>period</w:t>
            </w:r>
            <w:r w:rsidR="00517D7B">
              <w:rPr>
                <w:szCs w:val="22"/>
              </w:rPr>
              <w:t xml:space="preserve">, </w:t>
            </w:r>
            <w:r w:rsidRPr="00BC447F">
              <w:rPr>
                <w:szCs w:val="22"/>
              </w:rPr>
              <w:t>noting</w:t>
            </w:r>
            <w:r w:rsidR="00517D7B">
              <w:rPr>
                <w:szCs w:val="22"/>
              </w:rPr>
              <w:t xml:space="preserve"> </w:t>
            </w:r>
            <w:r w:rsidR="007140C4">
              <w:rPr>
                <w:szCs w:val="22"/>
              </w:rPr>
              <w:t>one</w:t>
            </w:r>
            <w:r w:rsidRPr="00BC447F">
              <w:rPr>
                <w:szCs w:val="22"/>
              </w:rPr>
              <w:t xml:space="preserve"> reasons </w:t>
            </w:r>
            <w:r w:rsidR="007140C4">
              <w:rPr>
                <w:szCs w:val="22"/>
              </w:rPr>
              <w:t xml:space="preserve">for decision </w:t>
            </w:r>
            <w:r w:rsidRPr="00BC447F">
              <w:rPr>
                <w:szCs w:val="22"/>
              </w:rPr>
              <w:t>remain</w:t>
            </w:r>
            <w:r w:rsidR="007140C4">
              <w:rPr>
                <w:szCs w:val="22"/>
              </w:rPr>
              <w:t>s</w:t>
            </w:r>
            <w:r w:rsidRPr="00BC447F">
              <w:rPr>
                <w:szCs w:val="22"/>
              </w:rPr>
              <w:t xml:space="preserve"> outstanding</w:t>
            </w:r>
          </w:p>
        </w:tc>
        <w:tc>
          <w:tcPr>
            <w:tcW w:w="425" w:type="dxa"/>
            <w:tcBorders>
              <w:left w:val="single" w:sz="4" w:space="0" w:color="FFFFFF" w:themeColor="background1"/>
              <w:right w:val="single" w:sz="4" w:space="0" w:color="FFFFFF" w:themeColor="background1"/>
            </w:tcBorders>
          </w:tcPr>
          <w:p w14:paraId="571C6996" w14:textId="058D0884" w:rsidR="00722B97" w:rsidRPr="00512EC1" w:rsidRDefault="00722B97" w:rsidP="00B45A6D">
            <w:pPr>
              <w:pStyle w:val="TableTextLeft-Arial"/>
              <w:rPr>
                <w:sz w:val="20"/>
                <w:szCs w:val="22"/>
                <w:highlight w:val="yellow"/>
              </w:rPr>
            </w:pPr>
          </w:p>
        </w:tc>
        <w:tc>
          <w:tcPr>
            <w:tcW w:w="1185" w:type="dxa"/>
            <w:tcBorders>
              <w:left w:val="single" w:sz="4" w:space="0" w:color="FFFFFF" w:themeColor="background1"/>
            </w:tcBorders>
            <w:shd w:val="clear" w:color="auto" w:fill="F2F2F2" w:themeFill="background1" w:themeFillShade="F2"/>
            <w:vAlign w:val="center"/>
          </w:tcPr>
          <w:p w14:paraId="571C6997" w14:textId="6F2A44FA" w:rsidR="00722B97" w:rsidRPr="00512EC1" w:rsidRDefault="007140C4" w:rsidP="006E166C">
            <w:pPr>
              <w:pStyle w:val="TableTextLeft-ArialBoldHeading"/>
              <w:jc w:val="center"/>
              <w:rPr>
                <w:rFonts w:eastAsia="Batang"/>
                <w:highlight w:val="yellow"/>
              </w:rPr>
            </w:pPr>
            <w:r w:rsidRPr="007140C4">
              <w:rPr>
                <w:rFonts w:eastAsia="Batang"/>
              </w:rPr>
              <w:t>44.1</w:t>
            </w:r>
          </w:p>
        </w:tc>
      </w:tr>
    </w:tbl>
    <w:p w14:paraId="571C699A" w14:textId="77777777" w:rsidR="00616CCA" w:rsidRPr="00B13181" w:rsidRDefault="00616CCA" w:rsidP="00382254">
      <w:pPr>
        <w:sectPr w:rsidR="00616CCA" w:rsidRPr="00B13181" w:rsidSect="0007235A">
          <w:headerReference w:type="even" r:id="rId38"/>
          <w:headerReference w:type="default" r:id="rId39"/>
          <w:footerReference w:type="even" r:id="rId40"/>
          <w:footerReference w:type="default" r:id="rId41"/>
          <w:headerReference w:type="first" r:id="rId42"/>
          <w:footerReference w:type="first" r:id="rId43"/>
          <w:pgSz w:w="11907" w:h="16840" w:code="9"/>
          <w:pgMar w:top="2466" w:right="2098" w:bottom="2466" w:left="2098" w:header="1899" w:footer="1899" w:gutter="0"/>
          <w:pgBorders w:offsetFrom="page">
            <w:bottom w:val="single" w:sz="2" w:space="24" w:color="1F497D" w:themeColor="text2"/>
          </w:pgBorders>
          <w:pgNumType w:start="1"/>
          <w:cols w:space="720"/>
          <w:titlePg/>
          <w:docGrid w:linePitch="286"/>
        </w:sectPr>
      </w:pPr>
    </w:p>
    <w:p w14:paraId="571C699B" w14:textId="5C623532" w:rsidR="006555DE" w:rsidRPr="000D6BE1" w:rsidRDefault="00CC73CE" w:rsidP="00382254">
      <w:pPr>
        <w:pStyle w:val="Heading1"/>
      </w:pPr>
      <w:bookmarkStart w:id="92" w:name="_Toc174632381"/>
      <w:r>
        <w:lastRenderedPageBreak/>
        <w:t>Part </w:t>
      </w:r>
      <w:r w:rsidR="000D6BE1" w:rsidRPr="000D6BE1">
        <w:t>2</w:t>
      </w:r>
      <w:bookmarkEnd w:id="77"/>
      <w:r w:rsidR="00CD2FE5">
        <w:t xml:space="preserve"> – </w:t>
      </w:r>
      <w:bookmarkStart w:id="93" w:name="_Toc204591214"/>
      <w:r w:rsidR="00A352C1">
        <w:t>T</w:t>
      </w:r>
      <w:r w:rsidR="000D6BE1" w:rsidRPr="000D6BE1">
        <w:t xml:space="preserve">he </w:t>
      </w:r>
      <w:r w:rsidR="00A352C1" w:rsidRPr="00382254">
        <w:t>P</w:t>
      </w:r>
      <w:r w:rsidR="000D6BE1" w:rsidRPr="00382254">
        <w:t>anel</w:t>
      </w:r>
      <w:bookmarkEnd w:id="78"/>
      <w:bookmarkEnd w:id="79"/>
      <w:bookmarkEnd w:id="80"/>
      <w:bookmarkEnd w:id="81"/>
      <w:bookmarkEnd w:id="82"/>
      <w:bookmarkEnd w:id="83"/>
      <w:bookmarkEnd w:id="84"/>
      <w:bookmarkEnd w:id="85"/>
      <w:bookmarkEnd w:id="86"/>
      <w:bookmarkEnd w:id="87"/>
      <w:bookmarkEnd w:id="88"/>
      <w:bookmarkEnd w:id="89"/>
      <w:bookmarkEnd w:id="91"/>
      <w:bookmarkEnd w:id="92"/>
      <w:bookmarkEnd w:id="93"/>
    </w:p>
    <w:p w14:paraId="571C699C" w14:textId="36A04773" w:rsidR="004E7D2A" w:rsidRPr="0030549B" w:rsidRDefault="004E7D2A" w:rsidP="00C04CA9">
      <w:pPr>
        <w:rPr>
          <w:spacing w:val="-2"/>
        </w:rPr>
      </w:pPr>
      <w:r w:rsidRPr="0030549B">
        <w:rPr>
          <w:spacing w:val="-2"/>
        </w:rPr>
        <w:t>The Panel improves the certainty, efficiency and fairness of Australia</w:t>
      </w:r>
      <w:r w:rsidR="008941F8">
        <w:rPr>
          <w:spacing w:val="-2"/>
        </w:rPr>
        <w:t>’</w:t>
      </w:r>
      <w:r w:rsidRPr="0030549B">
        <w:rPr>
          <w:spacing w:val="-2"/>
        </w:rPr>
        <w:t>s takeovers market by:</w:t>
      </w:r>
    </w:p>
    <w:p w14:paraId="571C699D" w14:textId="7C4D7FC2" w:rsidR="004E7D2A" w:rsidRPr="0095050F" w:rsidRDefault="00344C05" w:rsidP="0095050F">
      <w:pPr>
        <w:pStyle w:val="Bullet"/>
      </w:pPr>
      <w:r w:rsidRPr="0095050F">
        <w:t>r</w:t>
      </w:r>
      <w:r w:rsidR="004E7D2A" w:rsidRPr="0095050F">
        <w:t>esolving disputes in a fair, timely, consistent, informal and sound manner</w:t>
      </w:r>
    </w:p>
    <w:p w14:paraId="571C699E" w14:textId="72CB53F7" w:rsidR="004E7D2A" w:rsidRPr="0056135E" w:rsidRDefault="00344C05" w:rsidP="0095050F">
      <w:pPr>
        <w:pStyle w:val="Bullet"/>
      </w:pPr>
      <w:r w:rsidRPr="0095050F">
        <w:t>p</w:t>
      </w:r>
      <w:r w:rsidR="004E7D2A" w:rsidRPr="0095050F">
        <w:t>ublishin</w:t>
      </w:r>
      <w:r w:rsidR="004E7D2A" w:rsidRPr="0056135E">
        <w:t>g clear, well</w:t>
      </w:r>
      <w:r w:rsidR="008941F8">
        <w:noBreakHyphen/>
      </w:r>
      <w:r w:rsidR="004E7D2A" w:rsidRPr="0056135E">
        <w:t>developed guidance</w:t>
      </w:r>
      <w:r w:rsidR="00B9564C" w:rsidRPr="0056135E">
        <w:fldChar w:fldCharType="begin"/>
      </w:r>
      <w:r w:rsidR="00B9564C" w:rsidRPr="0056135E">
        <w:instrText>xe "Guidance"</w:instrText>
      </w:r>
      <w:r w:rsidR="00B9564C" w:rsidRPr="0056135E">
        <w:fldChar w:fldCharType="end"/>
      </w:r>
      <w:r w:rsidR="004E7D2A" w:rsidRPr="0056135E">
        <w:t>.</w:t>
      </w:r>
    </w:p>
    <w:p w14:paraId="571C699F" w14:textId="1CAF67DE" w:rsidR="008C59E0" w:rsidRDefault="004E7D2A" w:rsidP="00C04CA9">
      <w:r>
        <w:t>The Panel</w:t>
      </w:r>
      <w:r w:rsidR="008941F8">
        <w:t>’</w:t>
      </w:r>
      <w:r>
        <w:t xml:space="preserve">s </w:t>
      </w:r>
      <w:r w:rsidR="000D6BE1">
        <w:t xml:space="preserve">two main </w:t>
      </w:r>
      <w:r>
        <w:t xml:space="preserve">dispute resolution </w:t>
      </w:r>
      <w:r w:rsidR="000D6BE1">
        <w:t xml:space="preserve">functions </w:t>
      </w:r>
      <w:r>
        <w:t xml:space="preserve">are </w:t>
      </w:r>
      <w:r w:rsidR="000D6BE1">
        <w:t xml:space="preserve">considering </w:t>
      </w:r>
      <w:r w:rsidR="008D779D">
        <w:t xml:space="preserve">whether </w:t>
      </w:r>
      <w:r w:rsidR="000D6BE1" w:rsidRPr="001271BF">
        <w:t>unacceptable circumstances</w:t>
      </w:r>
      <w:r w:rsidR="008D779D">
        <w:t xml:space="preserve"> exist</w:t>
      </w:r>
      <w:r w:rsidR="000D6BE1">
        <w:rPr>
          <w:rStyle w:val="FootnoteReference"/>
        </w:rPr>
        <w:footnoteReference w:id="6"/>
      </w:r>
      <w:r w:rsidR="000D6BE1" w:rsidRPr="001271BF">
        <w:t xml:space="preserve"> </w:t>
      </w:r>
      <w:r w:rsidR="000D6BE1">
        <w:t xml:space="preserve">and </w:t>
      </w:r>
      <w:r w:rsidR="000D6BE1" w:rsidRPr="001271BF">
        <w:t xml:space="preserve">reviewing </w:t>
      </w:r>
      <w:r w:rsidR="000D6BE1">
        <w:t>certain decisions of ASIC.</w:t>
      </w:r>
      <w:r w:rsidR="000D6BE1">
        <w:rPr>
          <w:rStyle w:val="FootnoteReference"/>
        </w:rPr>
        <w:footnoteReference w:id="7"/>
      </w:r>
    </w:p>
    <w:p w14:paraId="571C69A0" w14:textId="2D06C0E6" w:rsidR="006555DE" w:rsidRPr="00C7025E" w:rsidRDefault="00CC73CE" w:rsidP="00946668">
      <w:pPr>
        <w:pStyle w:val="TableMainHeading"/>
      </w:pPr>
      <w:bookmarkStart w:id="94" w:name="_Toc146790808"/>
      <w:r>
        <w:t>Table </w:t>
      </w:r>
      <w:r w:rsidR="008C59E0" w:rsidRPr="00C7025E">
        <w:t>1: The Panel</w:t>
      </w:r>
      <w:r w:rsidR="008941F8">
        <w:t>’</w:t>
      </w:r>
      <w:r w:rsidR="008C59E0" w:rsidRPr="00C7025E">
        <w:t>s dispute resolution functions</w:t>
      </w:r>
      <w:bookmarkEnd w:id="94"/>
      <w:r w:rsidR="00743877" w:rsidRPr="00C7025E">
        <w:fldChar w:fldCharType="begin"/>
      </w:r>
      <w:r w:rsidR="00743877" w:rsidRPr="00C7025E">
        <w:instrText>xe "Review of ASIC decisions"</w:instrText>
      </w:r>
      <w:r w:rsidR="00743877" w:rsidRPr="00C7025E">
        <w:fldChar w:fldCharType="end"/>
      </w:r>
    </w:p>
    <w:tbl>
      <w:tblPr>
        <w:tblStyle w:val="TP-ARtotal"/>
        <w:tblW w:w="5000" w:type="pct"/>
        <w:tblLook w:val="04A0" w:firstRow="1" w:lastRow="0" w:firstColumn="1" w:lastColumn="0" w:noHBand="0" w:noVBand="1"/>
      </w:tblPr>
      <w:tblGrid>
        <w:gridCol w:w="1039"/>
        <w:gridCol w:w="3336"/>
        <w:gridCol w:w="3336"/>
      </w:tblGrid>
      <w:tr w:rsidR="00344C05" w:rsidRPr="00F57000" w14:paraId="571C69A4" w14:textId="77777777" w:rsidTr="00702498">
        <w:trPr>
          <w:cnfStyle w:val="100000000000" w:firstRow="1" w:lastRow="0" w:firstColumn="0" w:lastColumn="0" w:oddVBand="0" w:evenVBand="0" w:oddHBand="0" w:evenHBand="0" w:firstRowFirstColumn="0" w:firstRowLastColumn="0" w:lastRowFirstColumn="0" w:lastRowLastColumn="0"/>
        </w:trPr>
        <w:tc>
          <w:tcPr>
            <w:tcW w:w="674" w:type="pct"/>
          </w:tcPr>
          <w:p w14:paraId="571C69A1" w14:textId="77777777" w:rsidR="00344C05" w:rsidRPr="00F57000" w:rsidRDefault="00344C05" w:rsidP="00FD4AEA">
            <w:pPr>
              <w:pStyle w:val="TableColumnHeadingLeft"/>
            </w:pPr>
          </w:p>
        </w:tc>
        <w:tc>
          <w:tcPr>
            <w:tcW w:w="2163" w:type="pct"/>
          </w:tcPr>
          <w:p w14:paraId="571C69A2" w14:textId="77777777" w:rsidR="00344C05" w:rsidRPr="00F57000" w:rsidRDefault="00344C05" w:rsidP="00FD4AEA">
            <w:pPr>
              <w:pStyle w:val="TableColumnHeadingLeft"/>
            </w:pPr>
            <w:bookmarkStart w:id="95" w:name="_Toc204589444"/>
            <w:r w:rsidRPr="00F57000">
              <w:t>Unacceptable circumstances</w:t>
            </w:r>
            <w:bookmarkEnd w:id="95"/>
          </w:p>
        </w:tc>
        <w:tc>
          <w:tcPr>
            <w:tcW w:w="2163" w:type="pct"/>
          </w:tcPr>
          <w:p w14:paraId="571C69A3" w14:textId="77777777" w:rsidR="00344C05" w:rsidRPr="00F57000" w:rsidRDefault="00344C05" w:rsidP="00FD4AEA">
            <w:pPr>
              <w:pStyle w:val="TableColumnHeadingLeft"/>
            </w:pPr>
            <w:r w:rsidRPr="00F57000">
              <w:t>Review of ASIC decisions</w:t>
            </w:r>
          </w:p>
        </w:tc>
      </w:tr>
      <w:tr w:rsidR="00344C05" w14:paraId="571C69A8" w14:textId="77777777" w:rsidTr="00702498">
        <w:trPr>
          <w:trHeight w:val="596"/>
        </w:trPr>
        <w:tc>
          <w:tcPr>
            <w:tcW w:w="674" w:type="pct"/>
            <w:shd w:val="clear" w:color="auto" w:fill="F2F2F2" w:themeFill="background1" w:themeFillShade="F2"/>
          </w:tcPr>
          <w:p w14:paraId="571C69A5" w14:textId="77777777" w:rsidR="00344C05" w:rsidRPr="00BF3F03" w:rsidRDefault="00344C05" w:rsidP="00BF3F03">
            <w:pPr>
              <w:pStyle w:val="TableColumnHeadingLeft"/>
            </w:pPr>
            <w:r w:rsidRPr="00BF3F03">
              <w:t>What</w:t>
            </w:r>
          </w:p>
        </w:tc>
        <w:tc>
          <w:tcPr>
            <w:tcW w:w="2163" w:type="pct"/>
          </w:tcPr>
          <w:p w14:paraId="571C69A6" w14:textId="77777777" w:rsidR="00344C05" w:rsidRDefault="00344C05" w:rsidP="00B45A6D">
            <w:pPr>
              <w:pStyle w:val="TableTextLeft-Arial"/>
            </w:pPr>
            <w:r>
              <w:t>Deciding applications for a declaration of unacceptable circumstances is the main work of the Panel</w:t>
            </w:r>
          </w:p>
        </w:tc>
        <w:tc>
          <w:tcPr>
            <w:tcW w:w="2163" w:type="pct"/>
          </w:tcPr>
          <w:p w14:paraId="571C69A7" w14:textId="77777777" w:rsidR="00344C05" w:rsidRDefault="00344C05" w:rsidP="00B45A6D">
            <w:pPr>
              <w:pStyle w:val="TableTextLeft-Arial"/>
            </w:pPr>
            <w:r w:rsidRPr="002A6EEE">
              <w:t>The Panel may</w:t>
            </w:r>
            <w:r w:rsidR="008377C6">
              <w:t>, on application,</w:t>
            </w:r>
            <w:r w:rsidRPr="002A6EEE">
              <w:t xml:space="preserve"> review ASIC decisions</w:t>
            </w:r>
            <w:r>
              <w:t xml:space="preserve"> under Chapter 6 and, during a takeover bid, Chapter 6C</w:t>
            </w:r>
          </w:p>
        </w:tc>
      </w:tr>
      <w:tr w:rsidR="00344C05" w14:paraId="571C69AC" w14:textId="77777777" w:rsidTr="00702498">
        <w:trPr>
          <w:trHeight w:val="1016"/>
        </w:trPr>
        <w:tc>
          <w:tcPr>
            <w:tcW w:w="674" w:type="pct"/>
            <w:tcBorders>
              <w:bottom w:val="single" w:sz="4" w:space="0" w:color="F2F2F2" w:themeColor="background1" w:themeShade="F2"/>
            </w:tcBorders>
            <w:shd w:val="clear" w:color="auto" w:fill="F2F2F2" w:themeFill="background1" w:themeFillShade="F2"/>
          </w:tcPr>
          <w:p w14:paraId="571C69A9" w14:textId="77777777" w:rsidR="00344C05" w:rsidRPr="00BF3F03" w:rsidRDefault="00344C05" w:rsidP="00BF3F03">
            <w:pPr>
              <w:pStyle w:val="TableColumnHeadingLeft"/>
            </w:pPr>
            <w:r w:rsidRPr="00BF3F03">
              <w:t xml:space="preserve">How </w:t>
            </w:r>
          </w:p>
        </w:tc>
        <w:tc>
          <w:tcPr>
            <w:tcW w:w="2163" w:type="pct"/>
            <w:tcBorders>
              <w:bottom w:val="single" w:sz="4" w:space="0" w:color="F2F2F2" w:themeColor="background1" w:themeShade="F2"/>
            </w:tcBorders>
          </w:tcPr>
          <w:p w14:paraId="571C69AA" w14:textId="77777777" w:rsidR="00344C05" w:rsidRDefault="00344C05" w:rsidP="00B45A6D">
            <w:pPr>
              <w:pStyle w:val="TableTextLeft-Arial"/>
            </w:pPr>
            <w:r w:rsidRPr="001271BF">
              <w:t xml:space="preserve">The Panel </w:t>
            </w:r>
            <w:r w:rsidR="00E45B76">
              <w:t>(comprising three</w:t>
            </w:r>
            <w:r w:rsidR="00B0513F">
              <w:t> </w:t>
            </w:r>
            <w:r w:rsidR="00E45B76">
              <w:t xml:space="preserve">members) </w:t>
            </w:r>
            <w:r w:rsidRPr="001271BF">
              <w:t>consider</w:t>
            </w:r>
            <w:r>
              <w:t>s the circumstances against</w:t>
            </w:r>
            <w:r w:rsidRPr="001271BF">
              <w:t xml:space="preserve"> the principles in section 602</w:t>
            </w:r>
            <w:r>
              <w:t>, t</w:t>
            </w:r>
            <w:r w:rsidRPr="001271BF">
              <w:t xml:space="preserve">he provisions </w:t>
            </w:r>
            <w:r>
              <w:t xml:space="preserve">and policy </w:t>
            </w:r>
            <w:r w:rsidRPr="001271BF">
              <w:t>of</w:t>
            </w:r>
            <w:r w:rsidR="00B0513F">
              <w:t xml:space="preserve"> </w:t>
            </w:r>
            <w:r>
              <w:t>C</w:t>
            </w:r>
            <w:r w:rsidRPr="001271BF">
              <w:t xml:space="preserve">hapter </w:t>
            </w:r>
            <w:r>
              <w:t xml:space="preserve">6 </w:t>
            </w:r>
            <w:r w:rsidRPr="001271BF">
              <w:t>and the public interest</w:t>
            </w:r>
          </w:p>
        </w:tc>
        <w:tc>
          <w:tcPr>
            <w:tcW w:w="2163" w:type="pct"/>
            <w:tcBorders>
              <w:bottom w:val="single" w:sz="4" w:space="0" w:color="F2F2F2" w:themeColor="background1" w:themeShade="F2"/>
            </w:tcBorders>
          </w:tcPr>
          <w:p w14:paraId="571C69AB" w14:textId="3FCE8014" w:rsidR="00344C05" w:rsidRDefault="00344C05" w:rsidP="00B45A6D">
            <w:pPr>
              <w:pStyle w:val="TableTextLeft-Arial"/>
            </w:pPr>
            <w:r>
              <w:t>The Panel may exercise all the powers of ASIC under Chapters 6 and</w:t>
            </w:r>
            <w:r w:rsidR="00BD07BF">
              <w:t> </w:t>
            </w:r>
            <w:r>
              <w:t>6C</w:t>
            </w:r>
            <w:r>
              <w:rPr>
                <w:rStyle w:val="FootnoteReference"/>
              </w:rPr>
              <w:footnoteReference w:id="8"/>
            </w:r>
          </w:p>
        </w:tc>
      </w:tr>
      <w:tr w:rsidR="00AE70F5" w14:paraId="571C69B0" w14:textId="77777777" w:rsidTr="00702498">
        <w:trPr>
          <w:trHeight w:val="839"/>
        </w:trPr>
        <w:tc>
          <w:tcPr>
            <w:tcW w:w="674" w:type="pct"/>
            <w:tcBorders>
              <w:top w:val="single" w:sz="4" w:space="0" w:color="F2F2F2" w:themeColor="background1" w:themeShade="F2"/>
              <w:bottom w:val="single" w:sz="4" w:space="0" w:color="auto"/>
            </w:tcBorders>
            <w:shd w:val="clear" w:color="auto" w:fill="F2F2F2" w:themeFill="background1" w:themeFillShade="F2"/>
          </w:tcPr>
          <w:p w14:paraId="571C69AD" w14:textId="77777777" w:rsidR="00AE70F5" w:rsidRPr="00BF3F03" w:rsidRDefault="00AE70F5" w:rsidP="00BF3F03">
            <w:pPr>
              <w:pStyle w:val="TableColumnHeadingLeft"/>
            </w:pPr>
            <w:r w:rsidRPr="00BF3F03">
              <w:t>Guidance</w:t>
            </w:r>
          </w:p>
        </w:tc>
        <w:tc>
          <w:tcPr>
            <w:tcW w:w="2163" w:type="pct"/>
            <w:tcBorders>
              <w:top w:val="single" w:sz="4" w:space="0" w:color="F2F2F2" w:themeColor="background1" w:themeShade="F2"/>
              <w:bottom w:val="single" w:sz="4" w:space="0" w:color="auto"/>
            </w:tcBorders>
          </w:tcPr>
          <w:p w14:paraId="571C69AE" w14:textId="77777777" w:rsidR="00AE70F5" w:rsidRPr="001271BF" w:rsidRDefault="00AE70F5" w:rsidP="00B45A6D">
            <w:pPr>
              <w:pStyle w:val="TableTextLeft-Arial"/>
            </w:pPr>
            <w:r>
              <w:t>Guidance Notes, Procedural Rules, legislative policy of Chapter 6, previous decisions</w:t>
            </w:r>
          </w:p>
        </w:tc>
        <w:tc>
          <w:tcPr>
            <w:tcW w:w="2163" w:type="pct"/>
            <w:tcBorders>
              <w:top w:val="single" w:sz="4" w:space="0" w:color="F2F2F2" w:themeColor="background1" w:themeShade="F2"/>
              <w:bottom w:val="single" w:sz="4" w:space="0" w:color="auto"/>
            </w:tcBorders>
          </w:tcPr>
          <w:p w14:paraId="571C69AF" w14:textId="2436E908" w:rsidR="00AE70F5" w:rsidRDefault="00AE70F5" w:rsidP="00B45A6D">
            <w:pPr>
              <w:pStyle w:val="TableTextLeft-Arial"/>
            </w:pPr>
            <w:r>
              <w:t>Regulatory Guides, ASIC policies, reasons for ASIC</w:t>
            </w:r>
            <w:r w:rsidR="008941F8">
              <w:t>’</w:t>
            </w:r>
            <w:r>
              <w:t>s decision, Panel policy</w:t>
            </w:r>
          </w:p>
        </w:tc>
      </w:tr>
    </w:tbl>
    <w:p w14:paraId="571C69B1" w14:textId="5278FD3A" w:rsidR="00344C05" w:rsidRPr="00A352C1" w:rsidRDefault="00B8276D" w:rsidP="00F47D7A">
      <w:pPr>
        <w:pStyle w:val="TableMainHeadingContd"/>
      </w:pPr>
      <w:r>
        <w:lastRenderedPageBreak/>
        <w:t>T</w:t>
      </w:r>
      <w:r w:rsidR="00CC73CE">
        <w:t>able </w:t>
      </w:r>
      <w:r w:rsidR="00344C05" w:rsidRPr="00A352C1">
        <w:t>1: The Panel</w:t>
      </w:r>
      <w:r w:rsidR="008941F8">
        <w:t>’</w:t>
      </w:r>
      <w:r w:rsidR="00344C05" w:rsidRPr="00A352C1">
        <w:t>s dispute resolution functions (continued)</w:t>
      </w:r>
      <w:r w:rsidR="00344C05" w:rsidRPr="00A352C1">
        <w:fldChar w:fldCharType="begin"/>
      </w:r>
      <w:r w:rsidR="00344C05" w:rsidRPr="00A352C1">
        <w:instrText>xe "Review of ASIC decisions"</w:instrText>
      </w:r>
      <w:r w:rsidR="00344C05" w:rsidRPr="00A352C1">
        <w:fldChar w:fldCharType="end"/>
      </w:r>
    </w:p>
    <w:tbl>
      <w:tblPr>
        <w:tblStyle w:val="TP-ARtotal"/>
        <w:tblW w:w="5000" w:type="pct"/>
        <w:tblLook w:val="04A0" w:firstRow="1" w:lastRow="0" w:firstColumn="1" w:lastColumn="0" w:noHBand="0" w:noVBand="1"/>
      </w:tblPr>
      <w:tblGrid>
        <w:gridCol w:w="1097"/>
        <w:gridCol w:w="3307"/>
        <w:gridCol w:w="3307"/>
      </w:tblGrid>
      <w:tr w:rsidR="00344C05" w:rsidRPr="00F57000" w14:paraId="571C69B5" w14:textId="77777777" w:rsidTr="00702498">
        <w:trPr>
          <w:cnfStyle w:val="100000000000" w:firstRow="1" w:lastRow="0" w:firstColumn="0" w:lastColumn="0" w:oddVBand="0" w:evenVBand="0" w:oddHBand="0" w:evenHBand="0" w:firstRowFirstColumn="0" w:firstRowLastColumn="0" w:lastRowFirstColumn="0" w:lastRowLastColumn="0"/>
          <w:trHeight w:val="344"/>
        </w:trPr>
        <w:tc>
          <w:tcPr>
            <w:tcW w:w="670" w:type="pct"/>
          </w:tcPr>
          <w:p w14:paraId="571C69B2" w14:textId="77777777" w:rsidR="00344C05" w:rsidRPr="00F57000" w:rsidRDefault="00344C05" w:rsidP="00FD4AEA">
            <w:pPr>
              <w:pStyle w:val="TableColumnHeadingLeft"/>
            </w:pPr>
          </w:p>
        </w:tc>
        <w:tc>
          <w:tcPr>
            <w:tcW w:w="2144" w:type="pct"/>
          </w:tcPr>
          <w:p w14:paraId="571C69B3" w14:textId="77777777" w:rsidR="00344C05" w:rsidRPr="00F57000" w:rsidRDefault="00344C05" w:rsidP="00FD4AEA">
            <w:pPr>
              <w:pStyle w:val="TableColumnHeadingLeft"/>
            </w:pPr>
            <w:r w:rsidRPr="00F57000">
              <w:t>Unacceptable circumstances</w:t>
            </w:r>
          </w:p>
        </w:tc>
        <w:tc>
          <w:tcPr>
            <w:tcW w:w="2144" w:type="pct"/>
          </w:tcPr>
          <w:p w14:paraId="571C69B4" w14:textId="77777777" w:rsidR="00344C05" w:rsidRPr="00F57000" w:rsidRDefault="00344C05" w:rsidP="00FD4AEA">
            <w:pPr>
              <w:pStyle w:val="TableColumnHeadingLeft"/>
            </w:pPr>
            <w:r w:rsidRPr="00F57000">
              <w:t>Review of ASIC decisions</w:t>
            </w:r>
          </w:p>
        </w:tc>
      </w:tr>
      <w:tr w:rsidR="00344C05" w:rsidRPr="00344C05" w14:paraId="571C69B9" w14:textId="77777777" w:rsidTr="00702498">
        <w:trPr>
          <w:trHeight w:val="680"/>
        </w:trPr>
        <w:tc>
          <w:tcPr>
            <w:tcW w:w="670" w:type="pct"/>
            <w:shd w:val="clear" w:color="auto" w:fill="F2F2F2" w:themeFill="background1" w:themeFillShade="F2"/>
          </w:tcPr>
          <w:p w14:paraId="571C69B6" w14:textId="77777777" w:rsidR="00344C05" w:rsidRPr="00F57000" w:rsidRDefault="00344C05" w:rsidP="00FD4AEA">
            <w:pPr>
              <w:pStyle w:val="TableColumnHeadingLeft"/>
            </w:pPr>
            <w:r w:rsidRPr="00F57000">
              <w:t>Outcomes</w:t>
            </w:r>
          </w:p>
        </w:tc>
        <w:tc>
          <w:tcPr>
            <w:tcW w:w="2144" w:type="pct"/>
          </w:tcPr>
          <w:p w14:paraId="571C69B7" w14:textId="6EF3CA86" w:rsidR="00344C05" w:rsidRPr="00344C05" w:rsidRDefault="00344C05" w:rsidP="00B45A6D">
            <w:pPr>
              <w:pStyle w:val="TableTextLeft-Arial"/>
            </w:pPr>
            <w:r w:rsidRPr="00344C05">
              <w:t xml:space="preserve">If a declaration is made the Panel can make any orders to address the unacceptable circumstances, including a </w:t>
            </w:r>
            <w:r w:rsidR="008941F8">
              <w:t>‘</w:t>
            </w:r>
            <w:r w:rsidRPr="00344C05">
              <w:t>remedial order</w:t>
            </w:r>
            <w:r w:rsidR="008941F8">
              <w:t>’</w:t>
            </w:r>
            <w:r w:rsidRPr="00344C05">
              <w:rPr>
                <w:rStyle w:val="FootnoteReference"/>
              </w:rPr>
              <w:footnoteReference w:id="9"/>
            </w:r>
            <w:r w:rsidRPr="00344C05">
              <w:t xml:space="preserve"> </w:t>
            </w:r>
          </w:p>
        </w:tc>
        <w:tc>
          <w:tcPr>
            <w:tcW w:w="2144" w:type="pct"/>
          </w:tcPr>
          <w:p w14:paraId="571C69B8" w14:textId="77777777" w:rsidR="00344C05" w:rsidRPr="00344C05" w:rsidRDefault="00344C05" w:rsidP="00B45A6D">
            <w:pPr>
              <w:pStyle w:val="TableTextLeft-Arial"/>
            </w:pPr>
            <w:r w:rsidRPr="00344C05">
              <w:t xml:space="preserve">Affirm, vary, set aside </w:t>
            </w:r>
            <w:r w:rsidR="003B66A2">
              <w:t>(and substitute/remit)</w:t>
            </w:r>
            <w:r w:rsidRPr="00344C05">
              <w:t xml:space="preserve"> the ASIC decision</w:t>
            </w:r>
          </w:p>
        </w:tc>
      </w:tr>
      <w:tr w:rsidR="00344C05" w14:paraId="571C69BD" w14:textId="77777777" w:rsidTr="00702498">
        <w:trPr>
          <w:trHeight w:val="1171"/>
        </w:trPr>
        <w:tc>
          <w:tcPr>
            <w:tcW w:w="670" w:type="pct"/>
            <w:tcBorders>
              <w:bottom w:val="single" w:sz="4" w:space="0" w:color="F2F2F2" w:themeColor="background1" w:themeShade="F2"/>
            </w:tcBorders>
            <w:shd w:val="clear" w:color="auto" w:fill="F2F2F2" w:themeFill="background1" w:themeFillShade="F2"/>
          </w:tcPr>
          <w:p w14:paraId="571C69BA" w14:textId="77777777" w:rsidR="00344C05" w:rsidRPr="00F57000" w:rsidRDefault="00344C05" w:rsidP="00FD4AEA">
            <w:pPr>
              <w:pStyle w:val="TableColumnHeadingLeft"/>
            </w:pPr>
            <w:r w:rsidRPr="00F57000">
              <w:t>Review</w:t>
            </w:r>
          </w:p>
        </w:tc>
        <w:tc>
          <w:tcPr>
            <w:tcW w:w="2144" w:type="pct"/>
            <w:tcBorders>
              <w:bottom w:val="single" w:sz="4" w:space="0" w:color="F2F2F2" w:themeColor="background1" w:themeShade="F2"/>
            </w:tcBorders>
          </w:tcPr>
          <w:p w14:paraId="571C69BB" w14:textId="77777777" w:rsidR="00344C05" w:rsidRDefault="00344C05" w:rsidP="00B45A6D">
            <w:pPr>
              <w:pStyle w:val="TableTextLeft-Arial"/>
            </w:pPr>
            <w:r>
              <w:t>T</w:t>
            </w:r>
            <w:r w:rsidRPr="00067F56">
              <w:t>he</w:t>
            </w:r>
            <w:r w:rsidRPr="001271BF">
              <w:t xml:space="preserve"> Panel</w:t>
            </w:r>
            <w:r>
              <w:t>,</w:t>
            </w:r>
            <w:r w:rsidRPr="001271BF">
              <w:t xml:space="preserve"> </w:t>
            </w:r>
            <w:r>
              <w:t xml:space="preserve">on application, conducts a merits </w:t>
            </w:r>
            <w:r w:rsidRPr="001271BF">
              <w:t>review</w:t>
            </w:r>
            <w:r>
              <w:t xml:space="preserve"> of a </w:t>
            </w:r>
            <w:r w:rsidRPr="001271BF">
              <w:t xml:space="preserve">decision of the </w:t>
            </w:r>
            <w:r>
              <w:t>initial Panel</w:t>
            </w:r>
            <w:r w:rsidRPr="001271BF">
              <w:t>.</w:t>
            </w:r>
            <w:r w:rsidRPr="001271BF">
              <w:rPr>
                <w:rStyle w:val="FootnoteReference"/>
              </w:rPr>
              <w:footnoteReference w:id="10"/>
            </w:r>
            <w:r w:rsidR="00661B65">
              <w:t xml:space="preserve"> </w:t>
            </w:r>
            <w:r w:rsidRPr="001271BF">
              <w:t>A</w:t>
            </w:r>
            <w:r w:rsidR="00340137">
              <w:t> </w:t>
            </w:r>
            <w:r w:rsidRPr="001271BF">
              <w:t>review Panel comprises three</w:t>
            </w:r>
            <w:r w:rsidR="00340137">
              <w:t> </w:t>
            </w:r>
            <w:r w:rsidRPr="001271BF">
              <w:t xml:space="preserve">different members to </w:t>
            </w:r>
            <w:r>
              <w:t xml:space="preserve">the </w:t>
            </w:r>
            <w:r w:rsidRPr="001271BF">
              <w:t>initial Panel. There may be only one</w:t>
            </w:r>
            <w:r w:rsidR="00A11360">
              <w:t> </w:t>
            </w:r>
            <w:r w:rsidRPr="001271BF">
              <w:t>review of a Panel decision</w:t>
            </w:r>
            <w:r w:rsidRPr="008C0D87">
              <w:t xml:space="preserve"> </w:t>
            </w:r>
            <w:r w:rsidRPr="008F3140">
              <w:fldChar w:fldCharType="begin"/>
            </w:r>
            <w:r w:rsidRPr="008F3140">
              <w:instrText>xe "</w:instrText>
            </w:r>
            <w:r>
              <w:instrText>Review of a Panel decision</w:instrText>
            </w:r>
            <w:r w:rsidRPr="008F3140">
              <w:instrText>"</w:instrText>
            </w:r>
            <w:r w:rsidRPr="008F3140">
              <w:fldChar w:fldCharType="end"/>
            </w:r>
          </w:p>
        </w:tc>
        <w:tc>
          <w:tcPr>
            <w:tcW w:w="2144" w:type="pct"/>
            <w:tcBorders>
              <w:bottom w:val="single" w:sz="4" w:space="0" w:color="F2F2F2" w:themeColor="background1" w:themeShade="F2"/>
            </w:tcBorders>
          </w:tcPr>
          <w:p w14:paraId="571C69BC" w14:textId="77777777" w:rsidR="00344C05" w:rsidRDefault="00344C05" w:rsidP="00B45A6D">
            <w:pPr>
              <w:pStyle w:val="TableTextLeft-Arial"/>
            </w:pPr>
            <w:r>
              <w:t>As the Panel proceeding is the merits review, there is no review Panel</w:t>
            </w:r>
          </w:p>
        </w:tc>
      </w:tr>
      <w:tr w:rsidR="00344C05" w14:paraId="571C69C1" w14:textId="77777777" w:rsidTr="00702498">
        <w:tc>
          <w:tcPr>
            <w:tcW w:w="670" w:type="pct"/>
            <w:tcBorders>
              <w:top w:val="single" w:sz="4" w:space="0" w:color="F2F2F2" w:themeColor="background1" w:themeShade="F2"/>
              <w:bottom w:val="single" w:sz="4" w:space="0" w:color="auto"/>
            </w:tcBorders>
            <w:shd w:val="clear" w:color="auto" w:fill="F2F2F2" w:themeFill="background1" w:themeFillShade="F2"/>
          </w:tcPr>
          <w:p w14:paraId="571C69BE" w14:textId="77777777" w:rsidR="00344C05" w:rsidRPr="00F57000" w:rsidRDefault="00344C05" w:rsidP="00FD4AEA">
            <w:pPr>
              <w:pStyle w:val="TableColumnHeadingLeft"/>
            </w:pPr>
            <w:r w:rsidRPr="00F57000">
              <w:t>How often</w:t>
            </w:r>
          </w:p>
        </w:tc>
        <w:tc>
          <w:tcPr>
            <w:tcW w:w="2144" w:type="pct"/>
            <w:tcBorders>
              <w:top w:val="single" w:sz="4" w:space="0" w:color="F2F2F2" w:themeColor="background1" w:themeShade="F2"/>
              <w:bottom w:val="single" w:sz="4" w:space="0" w:color="auto"/>
            </w:tcBorders>
          </w:tcPr>
          <w:p w14:paraId="571C69BF" w14:textId="45F7DB4A" w:rsidR="00344C05" w:rsidRPr="008A7406" w:rsidRDefault="003B66A2" w:rsidP="00B45A6D">
            <w:pPr>
              <w:pStyle w:val="TableTextLeft-Arial"/>
              <w:rPr>
                <w:b/>
                <w:highlight w:val="yellow"/>
              </w:rPr>
            </w:pPr>
            <w:r w:rsidRPr="00A543C3">
              <w:t xml:space="preserve">In the current period there were </w:t>
            </w:r>
            <w:r w:rsidR="00A543C3" w:rsidRPr="00A543C3">
              <w:t>1</w:t>
            </w:r>
            <w:r w:rsidR="00A969A3">
              <w:t>9</w:t>
            </w:r>
            <w:r w:rsidRPr="00A543C3">
              <w:t> applications for a declaration at first instance and</w:t>
            </w:r>
            <w:r w:rsidR="00344C05" w:rsidRPr="00A543C3">
              <w:t xml:space="preserve"> </w:t>
            </w:r>
            <w:r w:rsidR="00A969A3">
              <w:t>6</w:t>
            </w:r>
            <w:r w:rsidR="008E6232" w:rsidRPr="00A543C3">
              <w:t xml:space="preserve"> </w:t>
            </w:r>
            <w:r w:rsidR="00344C05" w:rsidRPr="00A543C3">
              <w:t>applications for</w:t>
            </w:r>
            <w:r w:rsidR="00382254">
              <w:t> </w:t>
            </w:r>
            <w:r w:rsidR="00344C05" w:rsidRPr="00A543C3">
              <w:t>review</w:t>
            </w:r>
          </w:p>
        </w:tc>
        <w:tc>
          <w:tcPr>
            <w:tcW w:w="2144" w:type="pct"/>
            <w:tcBorders>
              <w:top w:val="single" w:sz="4" w:space="0" w:color="F2F2F2" w:themeColor="background1" w:themeShade="F2"/>
              <w:bottom w:val="single" w:sz="4" w:space="0" w:color="auto"/>
            </w:tcBorders>
          </w:tcPr>
          <w:p w14:paraId="571C69C0" w14:textId="39EC922E" w:rsidR="00344C05" w:rsidRPr="008A7406" w:rsidRDefault="003B66A2" w:rsidP="00B45A6D">
            <w:pPr>
              <w:pStyle w:val="TableTextLeft-Arial"/>
              <w:rPr>
                <w:highlight w:val="yellow"/>
              </w:rPr>
            </w:pPr>
            <w:r w:rsidRPr="00A543C3">
              <w:t xml:space="preserve">In the current period there </w:t>
            </w:r>
            <w:r w:rsidR="00A60B37" w:rsidRPr="00A543C3">
              <w:t xml:space="preserve">were </w:t>
            </w:r>
            <w:r w:rsidR="00CE2FBF" w:rsidRPr="00A543C3">
              <w:t xml:space="preserve">no </w:t>
            </w:r>
            <w:r w:rsidRPr="00A543C3">
              <w:t>applications for review of an ASIC decision</w:t>
            </w:r>
          </w:p>
        </w:tc>
      </w:tr>
    </w:tbl>
    <w:p w14:paraId="571C69C2" w14:textId="77777777" w:rsidR="00E43640" w:rsidRDefault="00E43640" w:rsidP="00B46724">
      <w:pPr>
        <w:pStyle w:val="SingleParagraph"/>
      </w:pPr>
      <w:bookmarkStart w:id="96" w:name="_Toc362608070"/>
    </w:p>
    <w:p w14:paraId="571C69C3" w14:textId="77777777" w:rsidR="006555DE" w:rsidRPr="0067129A" w:rsidRDefault="006555DE" w:rsidP="00286051">
      <w:pPr>
        <w:pStyle w:val="Heading2"/>
      </w:pPr>
      <w:bookmarkStart w:id="97" w:name="_Toc174632382"/>
      <w:r w:rsidRPr="0067129A">
        <w:t xml:space="preserve">Other </w:t>
      </w:r>
      <w:r w:rsidR="00A123E7" w:rsidRPr="0067129A">
        <w:t>features</w:t>
      </w:r>
      <w:bookmarkEnd w:id="96"/>
      <w:bookmarkEnd w:id="97"/>
    </w:p>
    <w:p w14:paraId="571C69C4" w14:textId="77777777" w:rsidR="00A123E7" w:rsidRDefault="00A123E7">
      <w:r>
        <w:t xml:space="preserve">The Panel </w:t>
      </w:r>
      <w:r w:rsidR="00E63025">
        <w:t>may make rules</w:t>
      </w:r>
      <w:r w:rsidR="00FA0C1C">
        <w:t>,</w:t>
      </w:r>
      <w:r w:rsidR="00E63025">
        <w:t xml:space="preserve"> not inconsistent with the Corporations Act or the Corporations Regulations</w:t>
      </w:r>
      <w:r w:rsidR="00CD14F3">
        <w:t xml:space="preserve">, </w:t>
      </w:r>
      <w:r w:rsidR="0025394D">
        <w:t>to clarify or supplement the operation of the provisions of Chapter 6</w:t>
      </w:r>
      <w:r>
        <w:t>.</w:t>
      </w:r>
      <w:r>
        <w:rPr>
          <w:rStyle w:val="FootnoteReference"/>
        </w:rPr>
        <w:footnoteReference w:id="11"/>
      </w:r>
      <w:r>
        <w:t xml:space="preserve"> It has not made any rules under this power.</w:t>
      </w:r>
    </w:p>
    <w:p w14:paraId="571C69C5" w14:textId="02F8553B" w:rsidR="00A123E7" w:rsidRDefault="00A123E7">
      <w:r>
        <w:t xml:space="preserve">The Panel has a power to make </w:t>
      </w:r>
      <w:r w:rsidR="0025394D">
        <w:t>P</w:t>
      </w:r>
      <w:r>
        <w:t xml:space="preserve">rocedural </w:t>
      </w:r>
      <w:r w:rsidR="0025394D">
        <w:t>R</w:t>
      </w:r>
      <w:r>
        <w:t>ules.</w:t>
      </w:r>
      <w:r>
        <w:rPr>
          <w:rStyle w:val="FootnoteReference"/>
        </w:rPr>
        <w:footnoteReference w:id="12"/>
      </w:r>
      <w:r>
        <w:t xml:space="preserve"> It published revised Procedural Rules in 20</w:t>
      </w:r>
      <w:r w:rsidR="00C24573">
        <w:t>21</w:t>
      </w:r>
      <w:r>
        <w:t>.</w:t>
      </w:r>
    </w:p>
    <w:p w14:paraId="571C69C6" w14:textId="77777777" w:rsidR="00325D7A" w:rsidRDefault="00A123E7" w:rsidP="00325D7A">
      <w:r>
        <w:t xml:space="preserve">The Panel </w:t>
      </w:r>
      <w:r w:rsidR="008C1A7E">
        <w:t>may decide</w:t>
      </w:r>
      <w:r w:rsidR="006555DE" w:rsidRPr="002A6EEE">
        <w:t xml:space="preserve"> a matter referred from the Court</w:t>
      </w:r>
      <w:r w:rsidR="006555DE" w:rsidRPr="00D87231">
        <w:t>.</w:t>
      </w:r>
      <w:r w:rsidR="006555DE" w:rsidRPr="00D87231">
        <w:rPr>
          <w:rStyle w:val="FootnoteReference"/>
        </w:rPr>
        <w:footnoteReference w:id="13"/>
      </w:r>
      <w:r w:rsidR="00661B65">
        <w:t xml:space="preserve"> </w:t>
      </w:r>
      <w:r w:rsidR="006555DE" w:rsidRPr="00301727">
        <w:t xml:space="preserve">There were </w:t>
      </w:r>
      <w:r w:rsidR="00E45B76" w:rsidRPr="00833B0D">
        <w:t>no referrals</w:t>
      </w:r>
      <w:r w:rsidR="00E45B76" w:rsidRPr="00301727">
        <w:t xml:space="preserve"> </w:t>
      </w:r>
      <w:r w:rsidR="006555DE" w:rsidRPr="00301727">
        <w:t>in the current period.</w:t>
      </w:r>
      <w:bookmarkStart w:id="98" w:name="_Toc332277158"/>
      <w:bookmarkStart w:id="99" w:name="_Toc362608071"/>
    </w:p>
    <w:p w14:paraId="571C69C7" w14:textId="77777777" w:rsidR="00DB0F89" w:rsidRDefault="00DB0F89" w:rsidP="00D45D03">
      <w:pPr>
        <w:rPr>
          <w:lang w:eastAsia="en-AU"/>
        </w:rPr>
      </w:pPr>
      <w:r>
        <w:br w:type="page"/>
      </w:r>
    </w:p>
    <w:p w14:paraId="571C69C8" w14:textId="77777777" w:rsidR="00325D7A" w:rsidRPr="00A26368" w:rsidRDefault="00A85F7E" w:rsidP="00286051">
      <w:pPr>
        <w:pStyle w:val="Heading2"/>
      </w:pPr>
      <w:bookmarkStart w:id="100" w:name="_Toc174632383"/>
      <w:r w:rsidRPr="00A26368">
        <w:lastRenderedPageBreak/>
        <w:t xml:space="preserve">Organisational </w:t>
      </w:r>
      <w:r w:rsidR="0083057A" w:rsidRPr="00A26368">
        <w:t>s</w:t>
      </w:r>
      <w:r w:rsidRPr="00A26368">
        <w:t>tructure</w:t>
      </w:r>
      <w:bookmarkEnd w:id="98"/>
      <w:bookmarkEnd w:id="99"/>
      <w:bookmarkEnd w:id="100"/>
      <w:r w:rsidR="00660325" w:rsidRPr="005A5651">
        <w:fldChar w:fldCharType="begin"/>
      </w:r>
      <w:r w:rsidR="00660325" w:rsidRPr="005A5651">
        <w:instrText>xe "</w:instrText>
      </w:r>
      <w:r w:rsidR="00660325">
        <w:instrText>Organisational structure</w:instrText>
      </w:r>
      <w:r w:rsidR="00660325" w:rsidRPr="005A5651">
        <w:instrText>"</w:instrText>
      </w:r>
      <w:r w:rsidR="00660325" w:rsidRPr="005A5651">
        <w:fldChar w:fldCharType="end"/>
      </w:r>
    </w:p>
    <w:p w14:paraId="571C69C9" w14:textId="2D71BC8A" w:rsidR="00325D7A" w:rsidRPr="005944CF" w:rsidRDefault="00CC73CE" w:rsidP="00CC7896">
      <w:pPr>
        <w:pStyle w:val="ChartMainHeading"/>
        <w:spacing w:after="240"/>
      </w:pPr>
      <w:bookmarkStart w:id="101" w:name="_Toc146790823"/>
      <w:r w:rsidRPr="009F6890">
        <w:t>Chart </w:t>
      </w:r>
      <w:r w:rsidR="001258A5" w:rsidRPr="009F6890">
        <w:t>1</w:t>
      </w:r>
      <w:r w:rsidR="00A85F7E" w:rsidRPr="009F6890">
        <w:t>: The Panel</w:t>
      </w:r>
      <w:r w:rsidR="008941F8">
        <w:t>’</w:t>
      </w:r>
      <w:r w:rsidR="00A85F7E" w:rsidRPr="009F6890">
        <w:t>s organisation structure</w:t>
      </w:r>
      <w:bookmarkEnd w:id="101"/>
      <w:r w:rsidR="009E314B">
        <w:t xml:space="preserve"> as at 30 June 2024</w:t>
      </w:r>
    </w:p>
    <w:p w14:paraId="571C69CB" w14:textId="397271BE" w:rsidR="00E43640" w:rsidRDefault="009E314B" w:rsidP="003E70FE">
      <w:pPr>
        <w:pStyle w:val="ChartGraphic"/>
      </w:pPr>
      <w:bookmarkStart w:id="102" w:name="_Toc332277159"/>
      <w:bookmarkStart w:id="103" w:name="_Toc362608072"/>
      <w:r>
        <w:rPr>
          <w:noProof/>
        </w:rPr>
        <w:drawing>
          <wp:inline distT="0" distB="0" distL="0" distR="0" wp14:anchorId="6F93FBD2" wp14:editId="3BE403EB">
            <wp:extent cx="4966985" cy="3895725"/>
            <wp:effectExtent l="0" t="0" r="5080" b="0"/>
            <wp:docPr id="863507206" name="Picture 1" descr="Chart 1 shows the Panel's organisation structure as at 30 June 2024. The Panel is lead by the General Counsel and Chief Executive. A Deputy General Counsel, Senior Lawyer and Legal Counsel sit under the General Counsel. An Office Manager and an Executive Assistant sit under the Chief Execu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07206" name="Picture 1" descr="Chart 1 shows the Panel's organisation structure as at 30 June 2024. The Panel is lead by the General Counsel and Chief Executive. A Deputy General Counsel, Senior Lawyer and Legal Counsel sit under the General Counsel. An Office Manager and an Executive Assistant sit under the Chief Executive.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88315" cy="3912455"/>
                    </a:xfrm>
                    <a:prstGeom prst="rect">
                      <a:avLst/>
                    </a:prstGeom>
                    <a:noFill/>
                  </pic:spPr>
                </pic:pic>
              </a:graphicData>
            </a:graphic>
          </wp:inline>
        </w:drawing>
      </w:r>
    </w:p>
    <w:p w14:paraId="571C69CC" w14:textId="77777777" w:rsidR="00A85F7E" w:rsidRPr="005A5651" w:rsidRDefault="00A123E7" w:rsidP="00286051">
      <w:pPr>
        <w:pStyle w:val="Heading2"/>
      </w:pPr>
      <w:bookmarkStart w:id="104" w:name="_Toc174632384"/>
      <w:r w:rsidRPr="005A5651">
        <w:t xml:space="preserve">Panel </w:t>
      </w:r>
      <w:r w:rsidR="00A85F7E" w:rsidRPr="005A5651">
        <w:t>President</w:t>
      </w:r>
      <w:bookmarkEnd w:id="102"/>
      <w:bookmarkEnd w:id="103"/>
      <w:bookmarkEnd w:id="104"/>
      <w:r w:rsidR="00D04E8C" w:rsidRPr="005A5651">
        <w:fldChar w:fldCharType="begin"/>
      </w:r>
      <w:r w:rsidR="00A85F7E" w:rsidRPr="005A5651">
        <w:instrText>xe "President"</w:instrText>
      </w:r>
      <w:r w:rsidR="00D04E8C" w:rsidRPr="005A5651">
        <w:fldChar w:fldCharType="end"/>
      </w:r>
    </w:p>
    <w:p w14:paraId="571C69CD" w14:textId="77777777" w:rsidR="00A85F7E" w:rsidRPr="00F7453C" w:rsidRDefault="00A85F7E" w:rsidP="00A85F7E">
      <w:r w:rsidRPr="00F7453C">
        <w:t>M</w:t>
      </w:r>
      <w:r w:rsidR="002321A1">
        <w:t>r Alex Cartel</w:t>
      </w:r>
      <w:r w:rsidR="00A123E7">
        <w:t>, a</w:t>
      </w:r>
      <w:r w:rsidR="00BC6E26">
        <w:t xml:space="preserve"> </w:t>
      </w:r>
      <w:r w:rsidR="00A123E7">
        <w:t xml:space="preserve">member of the Panel, </w:t>
      </w:r>
      <w:r w:rsidR="00BC6E26">
        <w:t>i</w:t>
      </w:r>
      <w:r w:rsidR="00B91A2E">
        <w:t>s</w:t>
      </w:r>
      <w:r w:rsidRPr="00F7453C">
        <w:t xml:space="preserve"> </w:t>
      </w:r>
      <w:r w:rsidR="00A123E7">
        <w:t>its President</w:t>
      </w:r>
      <w:r w:rsidRPr="00F7453C">
        <w:t>.</w:t>
      </w:r>
      <w:r w:rsidR="00A123E7">
        <w:rPr>
          <w:rStyle w:val="FootnoteReference"/>
        </w:rPr>
        <w:footnoteReference w:id="14"/>
      </w:r>
      <w:r w:rsidRPr="00F7453C">
        <w:t xml:space="preserve"> H</w:t>
      </w:r>
      <w:r w:rsidR="002321A1">
        <w:t>is</w:t>
      </w:r>
      <w:r w:rsidRPr="00F7453C">
        <w:t xml:space="preserve"> responsibilities include:</w:t>
      </w:r>
    </w:p>
    <w:p w14:paraId="571C69CE" w14:textId="56FB4960" w:rsidR="00A85F7E" w:rsidRPr="0095050F" w:rsidRDefault="00344C05" w:rsidP="0095050F">
      <w:pPr>
        <w:pStyle w:val="Bullet"/>
      </w:pPr>
      <w:r w:rsidRPr="00334932">
        <w:t>l</w:t>
      </w:r>
      <w:r w:rsidR="00A123E7" w:rsidRPr="00334932">
        <w:t xml:space="preserve">iaising </w:t>
      </w:r>
      <w:r w:rsidR="00A85F7E" w:rsidRPr="00334932">
        <w:t xml:space="preserve">with the </w:t>
      </w:r>
      <w:r w:rsidR="00A85F7E" w:rsidRPr="0095050F">
        <w:t>Minister, Government, Treasury and stakeholders</w:t>
      </w:r>
    </w:p>
    <w:p w14:paraId="571C69CF" w14:textId="5796BA2E" w:rsidR="00A85F7E" w:rsidRPr="0095050F" w:rsidRDefault="00344C05" w:rsidP="0095050F">
      <w:pPr>
        <w:pStyle w:val="Bullet"/>
      </w:pPr>
      <w:r w:rsidRPr="0095050F">
        <w:t>a</w:t>
      </w:r>
      <w:r w:rsidR="00A123E7" w:rsidRPr="0095050F">
        <w:t xml:space="preserve">ppointing </w:t>
      </w:r>
      <w:r w:rsidR="00A85F7E" w:rsidRPr="0095050F">
        <w:t>member</w:t>
      </w:r>
      <w:r w:rsidR="00126E8D" w:rsidRPr="0095050F">
        <w:t>s to constitute sitting Panels</w:t>
      </w:r>
    </w:p>
    <w:p w14:paraId="571C69D0" w14:textId="236B9251" w:rsidR="00B91A2E" w:rsidRPr="0095050F" w:rsidRDefault="00344C05" w:rsidP="0095050F">
      <w:pPr>
        <w:pStyle w:val="Bullet"/>
      </w:pPr>
      <w:r w:rsidRPr="0095050F">
        <w:t>c</w:t>
      </w:r>
      <w:r w:rsidR="00A123E7" w:rsidRPr="0095050F">
        <w:t xml:space="preserve">onsidering </w:t>
      </w:r>
      <w:r w:rsidR="00A85F7E" w:rsidRPr="0095050F">
        <w:t>the interests of sitting Panel members for possible conflicts</w:t>
      </w:r>
    </w:p>
    <w:p w14:paraId="571C69D1" w14:textId="77777777" w:rsidR="00C545B1" w:rsidRPr="00334932" w:rsidRDefault="00344C05" w:rsidP="0095050F">
      <w:pPr>
        <w:pStyle w:val="Bullet"/>
      </w:pPr>
      <w:r w:rsidRPr="0095050F">
        <w:t>p</w:t>
      </w:r>
      <w:r w:rsidR="00A123E7" w:rsidRPr="0095050F">
        <w:t xml:space="preserve">articipating </w:t>
      </w:r>
      <w:r w:rsidR="00B91A2E" w:rsidRPr="0095050F">
        <w:t>in reviewing</w:t>
      </w:r>
      <w:r w:rsidR="00B91A2E" w:rsidRPr="00334932">
        <w:t xml:space="preserve"> the performance of the executive</w:t>
      </w:r>
      <w:r w:rsidR="00A85F7E" w:rsidRPr="00334932">
        <w:t>.</w:t>
      </w:r>
    </w:p>
    <w:p w14:paraId="571C69D2" w14:textId="77777777" w:rsidR="00C04CA9" w:rsidRDefault="002321A1" w:rsidP="00334932">
      <w:r>
        <w:t xml:space="preserve">He </w:t>
      </w:r>
      <w:r w:rsidR="00A85F7E">
        <w:t>regularly sits on matters.</w:t>
      </w:r>
      <w:bookmarkStart w:id="105" w:name="_Toc362608073"/>
    </w:p>
    <w:p w14:paraId="571C69D4" w14:textId="77777777" w:rsidR="00A123E7" w:rsidRPr="00DF17BB" w:rsidRDefault="00A123E7" w:rsidP="00286051">
      <w:pPr>
        <w:pStyle w:val="Heading2"/>
      </w:pPr>
      <w:bookmarkStart w:id="106" w:name="_Toc174632385"/>
      <w:r w:rsidRPr="00DF17BB">
        <w:lastRenderedPageBreak/>
        <w:t>Acting Presidents</w:t>
      </w:r>
      <w:bookmarkEnd w:id="105"/>
      <w:bookmarkEnd w:id="106"/>
      <w:r w:rsidR="00B9564C" w:rsidRPr="00DF17BB">
        <w:fldChar w:fldCharType="begin"/>
      </w:r>
      <w:r w:rsidR="00B9564C" w:rsidRPr="00DF17BB">
        <w:instrText>xe "Acting Presidents"</w:instrText>
      </w:r>
      <w:r w:rsidR="00B9564C" w:rsidRPr="00DF17BB">
        <w:fldChar w:fldCharType="end"/>
      </w:r>
    </w:p>
    <w:p w14:paraId="571C69D5" w14:textId="77777777" w:rsidR="00A85F7E" w:rsidRPr="00DF17BB" w:rsidRDefault="00A85F7E" w:rsidP="00DB0F89">
      <w:r w:rsidRPr="00DF17BB">
        <w:t xml:space="preserve">The </w:t>
      </w:r>
      <w:r w:rsidR="00A123E7" w:rsidRPr="00DF17BB">
        <w:t>following members have been</w:t>
      </w:r>
      <w:r w:rsidRPr="00DF17BB">
        <w:t xml:space="preserve"> appointed</w:t>
      </w:r>
      <w:r w:rsidRPr="00DF17BB">
        <w:rPr>
          <w:rStyle w:val="FootnoteReference"/>
        </w:rPr>
        <w:footnoteReference w:id="15"/>
      </w:r>
      <w:r w:rsidRPr="00DF17BB">
        <w:t xml:space="preserve"> to act as </w:t>
      </w:r>
      <w:r w:rsidR="00A123E7" w:rsidRPr="00DF17BB">
        <w:t xml:space="preserve">President when the President </w:t>
      </w:r>
      <w:r w:rsidR="00922857" w:rsidRPr="00DF17BB">
        <w:t xml:space="preserve">cannot </w:t>
      </w:r>
      <w:r w:rsidR="00826C19" w:rsidRPr="00DF17BB">
        <w:t>act</w:t>
      </w:r>
      <w:r w:rsidRPr="00DF17BB">
        <w:t>:</w:t>
      </w:r>
    </w:p>
    <w:p w14:paraId="77D16BBA" w14:textId="17DBD451" w:rsidR="001B0C59" w:rsidRDefault="001B0C59" w:rsidP="001B0C59">
      <w:pPr>
        <w:pStyle w:val="Bullet"/>
        <w:spacing w:after="220"/>
      </w:pPr>
      <w:r w:rsidRPr="00DF17BB">
        <w:t>Ms Michelle Jablko</w:t>
      </w:r>
    </w:p>
    <w:p w14:paraId="6F729D29" w14:textId="6A37C019" w:rsidR="003960DF" w:rsidRPr="00DF17BB" w:rsidRDefault="003960DF" w:rsidP="003960DF">
      <w:pPr>
        <w:pStyle w:val="Bullet"/>
        <w:spacing w:after="220"/>
      </w:pPr>
      <w:r w:rsidRPr="00DF17BB">
        <w:t>Ms Yasmin Allen AM</w:t>
      </w:r>
    </w:p>
    <w:p w14:paraId="571C69DB" w14:textId="23E06CEF" w:rsidR="00F02E6C" w:rsidRDefault="00EF514C" w:rsidP="00947147">
      <w:pPr>
        <w:pStyle w:val="Bullet"/>
        <w:spacing w:after="220"/>
      </w:pPr>
      <w:r w:rsidRPr="00DF17BB">
        <w:t>Ms Diana Nicholson</w:t>
      </w:r>
      <w:r w:rsidR="001B0C59">
        <w:t>.</w:t>
      </w:r>
    </w:p>
    <w:p w14:paraId="571C69DC" w14:textId="77777777" w:rsidR="006555DE" w:rsidRPr="00DB0F89" w:rsidRDefault="00A123E7" w:rsidP="00286051">
      <w:pPr>
        <w:pStyle w:val="Heading2"/>
      </w:pPr>
      <w:bookmarkStart w:id="107" w:name="_Toc113248332"/>
      <w:bookmarkStart w:id="108" w:name="_Toc148348461"/>
      <w:bookmarkStart w:id="109" w:name="_Toc177204253"/>
      <w:bookmarkStart w:id="110" w:name="_Toc204589446"/>
      <w:bookmarkStart w:id="111" w:name="_Toc204590133"/>
      <w:bookmarkStart w:id="112" w:name="_Toc204591217"/>
      <w:bookmarkStart w:id="113" w:name="_Toc204591276"/>
      <w:bookmarkStart w:id="114" w:name="_Toc204591390"/>
      <w:bookmarkStart w:id="115" w:name="_Toc207163410"/>
      <w:bookmarkStart w:id="116" w:name="_Toc332277160"/>
      <w:bookmarkStart w:id="117" w:name="_Toc362608074"/>
      <w:bookmarkStart w:id="118" w:name="_Toc174632386"/>
      <w:r w:rsidRPr="00DF17BB">
        <w:t xml:space="preserve">Panel </w:t>
      </w:r>
      <w:r w:rsidR="006555DE" w:rsidRPr="00DF17BB">
        <w:t>Executive</w:t>
      </w:r>
      <w:bookmarkEnd w:id="107"/>
      <w:bookmarkEnd w:id="108"/>
      <w:bookmarkEnd w:id="109"/>
      <w:bookmarkEnd w:id="110"/>
      <w:bookmarkEnd w:id="111"/>
      <w:bookmarkEnd w:id="112"/>
      <w:bookmarkEnd w:id="113"/>
      <w:bookmarkEnd w:id="114"/>
      <w:bookmarkEnd w:id="115"/>
      <w:bookmarkEnd w:id="116"/>
      <w:bookmarkEnd w:id="117"/>
      <w:bookmarkEnd w:id="118"/>
      <w:r w:rsidR="00D04E8C" w:rsidRPr="00DB0F89">
        <w:fldChar w:fldCharType="begin"/>
      </w:r>
      <w:r w:rsidR="006555DE" w:rsidRPr="00DB0F89">
        <w:instrText>xe "Executive"</w:instrText>
      </w:r>
      <w:r w:rsidR="00D04E8C" w:rsidRPr="00DB0F89">
        <w:fldChar w:fldCharType="end"/>
      </w:r>
    </w:p>
    <w:p w14:paraId="571C69DD" w14:textId="77777777" w:rsidR="006555DE" w:rsidRPr="00D32D52" w:rsidRDefault="006555DE" w:rsidP="00DB0F89">
      <w:r w:rsidRPr="00D32D52">
        <w:t xml:space="preserve">The </w:t>
      </w:r>
      <w:r w:rsidR="007F478A" w:rsidRPr="00D32D52">
        <w:t>e</w:t>
      </w:r>
      <w:r w:rsidRPr="00D32D52">
        <w:t xml:space="preserve">xecutive </w:t>
      </w:r>
      <w:r w:rsidR="00A123E7">
        <w:t>a</w:t>
      </w:r>
      <w:r w:rsidRPr="00D32D52">
        <w:t>ssist</w:t>
      </w:r>
      <w:r w:rsidR="00A123E7">
        <w:t>s</w:t>
      </w:r>
      <w:r w:rsidRPr="00D32D52">
        <w:t xml:space="preserve"> Panel </w:t>
      </w:r>
      <w:r w:rsidR="00A123E7">
        <w:t xml:space="preserve">members </w:t>
      </w:r>
      <w:r w:rsidR="0086660D">
        <w:t>mak</w:t>
      </w:r>
      <w:r w:rsidR="00A123E7">
        <w:t>e</w:t>
      </w:r>
      <w:r w:rsidR="0086660D">
        <w:t xml:space="preserve"> consistent, timely</w:t>
      </w:r>
      <w:r w:rsidR="00E46D3D">
        <w:t xml:space="preserve"> and </w:t>
      </w:r>
      <w:r w:rsidR="0086660D">
        <w:t>commercial</w:t>
      </w:r>
      <w:r w:rsidRPr="00D32D52">
        <w:t xml:space="preserve"> decisions</w:t>
      </w:r>
      <w:r w:rsidR="00FD516F" w:rsidRPr="00D32D52">
        <w:t>. It</w:t>
      </w:r>
      <w:r w:rsidR="00767620">
        <w:t> </w:t>
      </w:r>
      <w:r w:rsidR="00A123E7">
        <w:t>provides</w:t>
      </w:r>
      <w:r w:rsidRPr="00D32D52">
        <w:t>:</w:t>
      </w:r>
    </w:p>
    <w:p w14:paraId="571C69DE" w14:textId="4654F7B7" w:rsidR="006555DE" w:rsidRPr="00334932" w:rsidRDefault="00344C05" w:rsidP="00DB0F89">
      <w:pPr>
        <w:pStyle w:val="Bullet"/>
        <w:spacing w:after="220"/>
      </w:pPr>
      <w:r w:rsidRPr="00334932">
        <w:t>a</w:t>
      </w:r>
      <w:r w:rsidR="00A123E7" w:rsidRPr="00334932">
        <w:t xml:space="preserve">dministrative </w:t>
      </w:r>
      <w:r w:rsidR="006555DE" w:rsidRPr="00334932">
        <w:t>and legal support for Panel members</w:t>
      </w:r>
    </w:p>
    <w:p w14:paraId="571C69DF" w14:textId="5D5FEB07" w:rsidR="006928CA" w:rsidRPr="00334932" w:rsidRDefault="00344C05" w:rsidP="00DB0F89">
      <w:pPr>
        <w:pStyle w:val="Bullet"/>
        <w:spacing w:after="220"/>
      </w:pPr>
      <w:r w:rsidRPr="00334932">
        <w:t>c</w:t>
      </w:r>
      <w:r w:rsidR="00A123E7" w:rsidRPr="00334932">
        <w:t xml:space="preserve">ommunication </w:t>
      </w:r>
      <w:r w:rsidR="006928CA" w:rsidRPr="00334932">
        <w:t xml:space="preserve">with parties in </w:t>
      </w:r>
      <w:r w:rsidR="00F568DF" w:rsidRPr="00334932">
        <w:t>proceedings</w:t>
      </w:r>
    </w:p>
    <w:p w14:paraId="571C69E0" w14:textId="5A49F915" w:rsidR="006555DE" w:rsidRPr="00334932" w:rsidRDefault="00344C05" w:rsidP="00DB0F89">
      <w:pPr>
        <w:pStyle w:val="Bullet"/>
        <w:spacing w:after="220"/>
      </w:pPr>
      <w:r w:rsidRPr="00334932">
        <w:t>l</w:t>
      </w:r>
      <w:r w:rsidR="00A123E7" w:rsidRPr="00334932">
        <w:t xml:space="preserve">iaison </w:t>
      </w:r>
      <w:r w:rsidR="006555DE" w:rsidRPr="00334932">
        <w:t>with market practitioners</w:t>
      </w:r>
      <w:r w:rsidR="0086660D" w:rsidRPr="00334932">
        <w:t>,</w:t>
      </w:r>
      <w:r w:rsidR="006555DE" w:rsidRPr="00334932">
        <w:t xml:space="preserve"> ASIC</w:t>
      </w:r>
      <w:r w:rsidR="008941F8">
        <w:t>’</w:t>
      </w:r>
      <w:r w:rsidR="006555DE" w:rsidRPr="00334932">
        <w:t>s takeovers staff</w:t>
      </w:r>
      <w:r w:rsidR="0086660D" w:rsidRPr="00334932">
        <w:t xml:space="preserve"> and ASX</w:t>
      </w:r>
    </w:p>
    <w:p w14:paraId="571C69E1" w14:textId="77777777" w:rsidR="006555DE" w:rsidRPr="00334932" w:rsidRDefault="00344C05" w:rsidP="00DB0F89">
      <w:pPr>
        <w:pStyle w:val="Bullet"/>
        <w:spacing w:after="220"/>
      </w:pPr>
      <w:r w:rsidRPr="00334932">
        <w:t>a</w:t>
      </w:r>
      <w:r w:rsidR="006555DE" w:rsidRPr="00334932">
        <w:t>n interface to prospective parties (for example, discussing issues and providing a perspective on takeovers policy as it may apply to current takeovers).</w:t>
      </w:r>
    </w:p>
    <w:p w14:paraId="571C69E2" w14:textId="627FC914" w:rsidR="00E86C94" w:rsidRPr="00DF17BB" w:rsidRDefault="00F61B58" w:rsidP="00DB0F89">
      <w:r w:rsidRPr="00DF17BB">
        <w:t>During the financial year t</w:t>
      </w:r>
      <w:r w:rsidR="00E86C94" w:rsidRPr="00DF17BB">
        <w:t>he Panel executive comprise</w:t>
      </w:r>
      <w:r w:rsidRPr="00DF17BB">
        <w:t>d</w:t>
      </w:r>
      <w:r w:rsidR="00E86C94" w:rsidRPr="00DF17BB">
        <w:t>:</w:t>
      </w:r>
    </w:p>
    <w:p w14:paraId="571C69E3" w14:textId="6102078A" w:rsidR="00E86C94" w:rsidRPr="00DF17BB" w:rsidRDefault="00E26EF5" w:rsidP="00DB0F89">
      <w:pPr>
        <w:pStyle w:val="Bullet"/>
        <w:spacing w:after="220"/>
      </w:pPr>
      <w:r w:rsidRPr="00DF17BB">
        <w:t>Chief Executive</w:t>
      </w:r>
      <w:r w:rsidR="00E86C94" w:rsidRPr="00DF17BB">
        <w:t>, Mr Allan Bulman</w:t>
      </w:r>
    </w:p>
    <w:p w14:paraId="571C69E4" w14:textId="6A46056A" w:rsidR="00E86C94" w:rsidRPr="00DF17BB" w:rsidRDefault="00E26EF5" w:rsidP="00DB0F89">
      <w:pPr>
        <w:pStyle w:val="Bullet"/>
        <w:spacing w:after="220"/>
      </w:pPr>
      <w:r w:rsidRPr="00DF17BB">
        <w:t xml:space="preserve">General </w:t>
      </w:r>
      <w:r w:rsidR="00E86C94" w:rsidRPr="00DF17BB">
        <w:t xml:space="preserve">Counsel, </w:t>
      </w:r>
      <w:r w:rsidR="00EF514C" w:rsidRPr="00DF17BB">
        <w:t>Ms Tania Mattei</w:t>
      </w:r>
    </w:p>
    <w:p w14:paraId="1B4AAFAB" w14:textId="25D042D8" w:rsidR="00C40F34" w:rsidRPr="00DF17BB" w:rsidRDefault="00C40F34" w:rsidP="00DB0F89">
      <w:pPr>
        <w:pStyle w:val="Bullet"/>
        <w:spacing w:after="220"/>
      </w:pPr>
      <w:r w:rsidRPr="00DF17BB">
        <w:t>Deputy General Counsel, Ms Katrin</w:t>
      </w:r>
      <w:r w:rsidR="00146E11" w:rsidRPr="00DF17BB">
        <w:t>a</w:t>
      </w:r>
      <w:r w:rsidRPr="00DF17BB">
        <w:t xml:space="preserve"> Fong (on long term leave)</w:t>
      </w:r>
    </w:p>
    <w:p w14:paraId="7A699F7B" w14:textId="713C2EC1" w:rsidR="009F6890" w:rsidRPr="00DF17BB" w:rsidRDefault="009F6890" w:rsidP="009F6890">
      <w:pPr>
        <w:pStyle w:val="Bullet"/>
        <w:spacing w:after="220"/>
      </w:pPr>
      <w:r w:rsidRPr="00DF17BB">
        <w:t>Deputy General Counsel, Mr Andrew Bubniw</w:t>
      </w:r>
    </w:p>
    <w:p w14:paraId="569279F5" w14:textId="03FF5316" w:rsidR="00EB12AE" w:rsidRPr="00DF17BB" w:rsidRDefault="00EB12AE" w:rsidP="00DB0F89">
      <w:pPr>
        <w:pStyle w:val="Bullet"/>
        <w:spacing w:after="220"/>
      </w:pPr>
      <w:r w:rsidRPr="00DF17BB">
        <w:t>Senior Legal Counsel, Ms Melanie Gilbert</w:t>
      </w:r>
      <w:r w:rsidR="00A502A7" w:rsidRPr="00DF17BB">
        <w:t xml:space="preserve"> (</w:t>
      </w:r>
      <w:r w:rsidR="005225AF" w:rsidRPr="00DF17BB">
        <w:t>on long term leave</w:t>
      </w:r>
      <w:r w:rsidR="00A502A7" w:rsidRPr="00DF17BB">
        <w:t>)</w:t>
      </w:r>
    </w:p>
    <w:p w14:paraId="313CC1A5" w14:textId="2684E400" w:rsidR="00DF17BB" w:rsidRPr="00DF17BB" w:rsidRDefault="00DF17BB" w:rsidP="00DB0F89">
      <w:pPr>
        <w:pStyle w:val="Bullet"/>
        <w:spacing w:after="220"/>
      </w:pPr>
      <w:r w:rsidRPr="00DF17BB">
        <w:t>Senior L</w:t>
      </w:r>
      <w:r w:rsidR="003960DF">
        <w:t>awyer</w:t>
      </w:r>
      <w:r w:rsidRPr="00DF17BB">
        <w:t>, Mr Mathew Mirabella</w:t>
      </w:r>
    </w:p>
    <w:p w14:paraId="571C69E5" w14:textId="18642940" w:rsidR="002E4C6C" w:rsidRPr="00DF17BB" w:rsidRDefault="00B05110" w:rsidP="007C23DA">
      <w:pPr>
        <w:pStyle w:val="Bullet"/>
        <w:keepLines/>
        <w:spacing w:after="220"/>
      </w:pPr>
      <w:r w:rsidRPr="00DF17BB">
        <w:lastRenderedPageBreak/>
        <w:t>L</w:t>
      </w:r>
      <w:r w:rsidR="00D81C68" w:rsidRPr="00DF17BB">
        <w:t>egal</w:t>
      </w:r>
      <w:r w:rsidRPr="00DF17BB">
        <w:t xml:space="preserve"> Counsel, </w:t>
      </w:r>
      <w:r w:rsidR="00D81C68" w:rsidRPr="00DF17BB">
        <w:t xml:space="preserve">secondees. </w:t>
      </w:r>
      <w:r w:rsidR="00833B0D" w:rsidRPr="00DF17BB">
        <w:t>The Panel</w:t>
      </w:r>
      <w:r w:rsidR="008941F8">
        <w:t>’</w:t>
      </w:r>
      <w:r w:rsidR="00833B0D" w:rsidRPr="00DF17BB">
        <w:t xml:space="preserve">s normal process is to staff its office, in part, with secondees from major law firms. </w:t>
      </w:r>
      <w:r w:rsidR="00D81C68" w:rsidRPr="00DF17BB">
        <w:t xml:space="preserve">During the </w:t>
      </w:r>
      <w:r w:rsidR="00F61B58" w:rsidRPr="00DF17BB">
        <w:t xml:space="preserve">financial </w:t>
      </w:r>
      <w:r w:rsidR="00D81C68" w:rsidRPr="00DF17BB">
        <w:t xml:space="preserve">year, the secondees </w:t>
      </w:r>
      <w:r w:rsidR="00B52B37" w:rsidRPr="00DF17BB">
        <w:t>were</w:t>
      </w:r>
      <w:r w:rsidR="00D81C68" w:rsidRPr="00DF17BB">
        <w:t xml:space="preserve"> </w:t>
      </w:r>
      <w:r w:rsidR="00654BB8">
        <w:t xml:space="preserve">Ms </w:t>
      </w:r>
      <w:r w:rsidR="00DF17BB" w:rsidRPr="00DF17BB">
        <w:t xml:space="preserve">Andrea Bennett (Gilbert + Tobin, Sydney) </w:t>
      </w:r>
      <w:r w:rsidR="00603CC5" w:rsidRPr="00DF17BB">
        <w:t xml:space="preserve">and </w:t>
      </w:r>
      <w:r w:rsidR="00654BB8">
        <w:t xml:space="preserve">Mr </w:t>
      </w:r>
      <w:r w:rsidR="00DF17BB" w:rsidRPr="00DF17BB">
        <w:t xml:space="preserve">Jordan Osrin (King &amp; Wood Mallesons, Melbourne) </w:t>
      </w:r>
      <w:r w:rsidR="00F61B58" w:rsidRPr="00DF17BB">
        <w:t>The secondees have ably assisted the executive. The Panel appreciates their contributions and the willing support of their firms.</w:t>
      </w:r>
    </w:p>
    <w:p w14:paraId="3A59804E" w14:textId="0469F78A" w:rsidR="00CE67DF" w:rsidRPr="00DF17BB" w:rsidRDefault="00851E23" w:rsidP="00CE67DF">
      <w:pPr>
        <w:pStyle w:val="Bullet"/>
        <w:spacing w:after="0"/>
      </w:pPr>
      <w:r>
        <w:t>T</w:t>
      </w:r>
      <w:r w:rsidR="00E767DD" w:rsidRPr="00DF17BB">
        <w:t>wo administrative staff: Ms Karolina Ksiezak</w:t>
      </w:r>
      <w:r w:rsidR="00BC01D7">
        <w:t xml:space="preserve"> until </w:t>
      </w:r>
      <w:r>
        <w:t>February</w:t>
      </w:r>
      <w:r w:rsidR="00DF17BB" w:rsidRPr="00DF17BB">
        <w:t xml:space="preserve"> </w:t>
      </w:r>
      <w:r>
        <w:t xml:space="preserve">2024 </w:t>
      </w:r>
      <w:r w:rsidR="00DF17BB" w:rsidRPr="00DF17BB">
        <w:t xml:space="preserve">and </w:t>
      </w:r>
      <w:r w:rsidR="00DF17BB">
        <w:t xml:space="preserve">Ms </w:t>
      </w:r>
      <w:r w:rsidR="00DF17BB" w:rsidRPr="00DF17BB">
        <w:t>Claudia McCulloch</w:t>
      </w:r>
      <w:r w:rsidR="00E767DD" w:rsidRPr="00DF17BB">
        <w:t xml:space="preserve"> </w:t>
      </w:r>
      <w:r w:rsidR="00BC01D7">
        <w:t xml:space="preserve">from </w:t>
      </w:r>
      <w:r>
        <w:t>March 2024</w:t>
      </w:r>
      <w:r w:rsidR="00BC01D7">
        <w:t xml:space="preserve"> </w:t>
      </w:r>
      <w:r w:rsidR="00E767DD" w:rsidRPr="00DF17BB">
        <w:t>as Office Manager and Ms</w:t>
      </w:r>
      <w:r w:rsidR="00F55703" w:rsidRPr="00DF17BB">
        <w:t> </w:t>
      </w:r>
      <w:r w:rsidR="00E767DD" w:rsidRPr="00DF17BB">
        <w:t>Rebecca</w:t>
      </w:r>
      <w:r w:rsidR="00F55703" w:rsidRPr="00DF17BB">
        <w:t> </w:t>
      </w:r>
      <w:r w:rsidR="00675D03" w:rsidRPr="00DF17BB">
        <w:t>Andrewartha</w:t>
      </w:r>
      <w:r w:rsidR="00126E8D" w:rsidRPr="00DF17BB">
        <w:t xml:space="preserve"> as Executive Assistant.</w:t>
      </w:r>
    </w:p>
    <w:p w14:paraId="0C76FA82" w14:textId="1C964270" w:rsidR="0072711D" w:rsidRPr="00CE67DF" w:rsidRDefault="00DF17BB" w:rsidP="000B5593">
      <w:pPr>
        <w:pStyle w:val="Photographic"/>
      </w:pPr>
      <w:bookmarkStart w:id="119" w:name="_Toc204589447"/>
      <w:bookmarkStart w:id="120" w:name="_Toc204591218"/>
      <w:bookmarkStart w:id="121" w:name="_Toc204591277"/>
      <w:bookmarkStart w:id="122" w:name="_Toc204591391"/>
      <w:bookmarkStart w:id="123" w:name="_Toc207163411"/>
      <w:bookmarkStart w:id="124" w:name="_Toc332277161"/>
      <w:bookmarkStart w:id="125" w:name="_Toc362608075"/>
      <w:r>
        <w:rPr>
          <w:noProof/>
          <w:snapToGrid/>
        </w:rPr>
        <w:drawing>
          <wp:inline distT="0" distB="0" distL="0" distR="0" wp14:anchorId="4B7F78DC" wp14:editId="5EC08517">
            <wp:extent cx="4896485" cy="3128010"/>
            <wp:effectExtent l="0" t="0" r="0" b="0"/>
            <wp:docPr id="1873595448" name="Picture 1" descr="The Panel Executive and President posing for a photo in the Takeovers Panel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95448" name="Picture 1" descr="The Panel Executive and President posing for a photo in the Takeovers Panel office. "/>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896485" cy="3128010"/>
                    </a:xfrm>
                    <a:prstGeom prst="rect">
                      <a:avLst/>
                    </a:prstGeom>
                  </pic:spPr>
                </pic:pic>
              </a:graphicData>
            </a:graphic>
          </wp:inline>
        </w:drawing>
      </w:r>
    </w:p>
    <w:p w14:paraId="44C30404" w14:textId="75BD8C0F" w:rsidR="0072711D" w:rsidRPr="00A26368" w:rsidRDefault="0072711D" w:rsidP="00CE67DF">
      <w:pPr>
        <w:pStyle w:val="ChartorTableNote"/>
      </w:pPr>
      <w:r w:rsidRPr="00DF17BB">
        <w:rPr>
          <w:b/>
        </w:rPr>
        <w:t>The President with the executive</w:t>
      </w:r>
      <w:r w:rsidRPr="00DF17BB">
        <w:t xml:space="preserve">: (L to R Top) </w:t>
      </w:r>
      <w:r w:rsidR="00DF17BB" w:rsidRPr="00DF17BB">
        <w:t>Rebecca Andrewartha</w:t>
      </w:r>
      <w:r w:rsidRPr="00DF17BB">
        <w:t xml:space="preserve">, </w:t>
      </w:r>
      <w:r w:rsidR="00DF17BB" w:rsidRPr="00DF17BB">
        <w:t>Karolina Ksiezak</w:t>
      </w:r>
      <w:r w:rsidRPr="00DF17BB">
        <w:t>,</w:t>
      </w:r>
      <w:r w:rsidR="00DF17BB" w:rsidRPr="00DF17BB">
        <w:t xml:space="preserve"> Alex Cartel, Andrea Bennett, </w:t>
      </w:r>
      <w:r w:rsidRPr="00DF17BB">
        <w:t xml:space="preserve">Tania Mattei (L to R Bottom) </w:t>
      </w:r>
      <w:r w:rsidR="00DF17BB" w:rsidRPr="00DF17BB">
        <w:t xml:space="preserve">Mathew Mirabella, Andrew Bubniw, Melanie Gilbert, </w:t>
      </w:r>
      <w:r w:rsidRPr="00DF17BB">
        <w:t>Allan Bulman</w:t>
      </w:r>
      <w:r w:rsidR="00DF17BB" w:rsidRPr="00DF17BB">
        <w:t>.</w:t>
      </w:r>
    </w:p>
    <w:p w14:paraId="571C69EA" w14:textId="0546665B" w:rsidR="006555DE" w:rsidRPr="00EF514C" w:rsidRDefault="00B9461F" w:rsidP="00286051">
      <w:pPr>
        <w:pStyle w:val="Heading2"/>
      </w:pPr>
      <w:bookmarkStart w:id="126" w:name="_Toc174632387"/>
      <w:r w:rsidRPr="00EF514C">
        <w:t xml:space="preserve">The </w:t>
      </w:r>
      <w:r w:rsidR="006555DE" w:rsidRPr="00EF514C">
        <w:t>Office</w:t>
      </w:r>
      <w:bookmarkEnd w:id="119"/>
      <w:bookmarkEnd w:id="120"/>
      <w:bookmarkEnd w:id="121"/>
      <w:bookmarkEnd w:id="122"/>
      <w:bookmarkEnd w:id="123"/>
      <w:bookmarkEnd w:id="124"/>
      <w:bookmarkEnd w:id="125"/>
      <w:bookmarkEnd w:id="126"/>
    </w:p>
    <w:p w14:paraId="571C69EB" w14:textId="7309AE83" w:rsidR="006555DE" w:rsidRPr="00EF514C" w:rsidRDefault="006555DE" w:rsidP="00EF514C">
      <w:r w:rsidRPr="007708D4">
        <w:t>The Panel</w:t>
      </w:r>
      <w:r w:rsidR="00714195" w:rsidRPr="007708D4">
        <w:t xml:space="preserve"> </w:t>
      </w:r>
      <w:r w:rsidR="00757505" w:rsidRPr="007708D4">
        <w:t xml:space="preserve">is </w:t>
      </w:r>
      <w:r w:rsidR="00EB7862" w:rsidRPr="007708D4">
        <w:t>co</w:t>
      </w:r>
      <w:r w:rsidR="008941F8">
        <w:noBreakHyphen/>
      </w:r>
      <w:r w:rsidR="00EB7862" w:rsidRPr="007708D4">
        <w:t xml:space="preserve">located with </w:t>
      </w:r>
      <w:r w:rsidR="00757505" w:rsidRPr="007708D4">
        <w:t>the Department of the Treasury</w:t>
      </w:r>
      <w:r w:rsidR="008941F8">
        <w:t>’</w:t>
      </w:r>
      <w:r w:rsidR="00757505" w:rsidRPr="007708D4">
        <w:t xml:space="preserve">s Melbourne office </w:t>
      </w:r>
      <w:r w:rsidR="00B246BA" w:rsidRPr="007708D4">
        <w:t xml:space="preserve">at </w:t>
      </w:r>
      <w:r w:rsidR="00873A42" w:rsidRPr="007708D4">
        <w:t>Level</w:t>
      </w:r>
      <w:r w:rsidR="00550FAF">
        <w:t> </w:t>
      </w:r>
      <w:r w:rsidR="00873A42" w:rsidRPr="007708D4">
        <w:t>1</w:t>
      </w:r>
      <w:r w:rsidR="00757505" w:rsidRPr="007708D4">
        <w:t>6</w:t>
      </w:r>
      <w:r w:rsidR="00873A42" w:rsidRPr="007708D4">
        <w:t xml:space="preserve">, </w:t>
      </w:r>
      <w:r w:rsidR="00714195" w:rsidRPr="007708D4">
        <w:t>530</w:t>
      </w:r>
      <w:r w:rsidR="00550FAF">
        <w:t> </w:t>
      </w:r>
      <w:r w:rsidR="00714195" w:rsidRPr="007708D4">
        <w:t>Collins Street.</w:t>
      </w:r>
      <w:r w:rsidR="00C654E2" w:rsidRPr="00EF514C">
        <w:t xml:space="preserve"> </w:t>
      </w:r>
    </w:p>
    <w:p w14:paraId="571C69EC" w14:textId="055E3269" w:rsidR="009B33CD" w:rsidRPr="00CE67DF" w:rsidRDefault="009B33CD" w:rsidP="00CE67DF">
      <w:bookmarkStart w:id="127" w:name="_Toc362608076"/>
      <w:r>
        <w:br w:type="page"/>
      </w:r>
    </w:p>
    <w:p w14:paraId="571C69ED" w14:textId="77777777" w:rsidR="008C59E0" w:rsidRPr="009B33CD" w:rsidRDefault="006555DE" w:rsidP="00286051">
      <w:pPr>
        <w:pStyle w:val="Heading2"/>
      </w:pPr>
      <w:bookmarkStart w:id="128" w:name="_Toc174632388"/>
      <w:r w:rsidRPr="009B33CD">
        <w:lastRenderedPageBreak/>
        <w:t xml:space="preserve">Appointment of </w:t>
      </w:r>
      <w:r w:rsidR="00D90220" w:rsidRPr="009B33CD">
        <w:t xml:space="preserve">Panel </w:t>
      </w:r>
      <w:r w:rsidRPr="009B33CD">
        <w:t>members</w:t>
      </w:r>
      <w:bookmarkEnd w:id="127"/>
      <w:bookmarkEnd w:id="128"/>
    </w:p>
    <w:p w14:paraId="571C69EE" w14:textId="4FFC9D05" w:rsidR="006555DE" w:rsidRPr="009B33CD" w:rsidRDefault="00CC73CE" w:rsidP="009B33CD">
      <w:pPr>
        <w:pStyle w:val="TableMainHeading"/>
      </w:pPr>
      <w:bookmarkStart w:id="129" w:name="_Toc146790809"/>
      <w:r>
        <w:t>Table </w:t>
      </w:r>
      <w:r w:rsidR="008C59E0" w:rsidRPr="009B33CD">
        <w:t>2: Appointment of Panel members</w:t>
      </w:r>
      <w:r w:rsidR="005B4518" w:rsidRPr="009B33CD">
        <w:t xml:space="preserve"> </w:t>
      </w:r>
      <w:r w:rsidR="002E3001">
        <w:t>during</w:t>
      </w:r>
      <w:r w:rsidR="005B4518" w:rsidRPr="009B33CD">
        <w:t xml:space="preserve"> 20</w:t>
      </w:r>
      <w:r w:rsidR="00927469">
        <w:t>2</w:t>
      </w:r>
      <w:bookmarkEnd w:id="129"/>
      <w:r w:rsidR="006478E3">
        <w:t>3</w:t>
      </w:r>
      <w:r w:rsidR="002C5454">
        <w:t>–</w:t>
      </w:r>
      <w:r w:rsidR="006478E3">
        <w:t>24</w:t>
      </w:r>
      <w:r w:rsidR="00743877" w:rsidRPr="009B33CD">
        <w:fldChar w:fldCharType="begin"/>
      </w:r>
      <w:r w:rsidR="00743877" w:rsidRPr="009B33CD">
        <w:instrText>xe "Panel members"</w:instrText>
      </w:r>
      <w:r w:rsidR="00743877" w:rsidRPr="009B33CD">
        <w:fldChar w:fldCharType="end"/>
      </w:r>
    </w:p>
    <w:tbl>
      <w:tblPr>
        <w:tblStyle w:val="TP-ARBanded"/>
        <w:tblW w:w="5000" w:type="pct"/>
        <w:tblLook w:val="04E0" w:firstRow="1" w:lastRow="1" w:firstColumn="1" w:lastColumn="0" w:noHBand="0" w:noVBand="1"/>
      </w:tblPr>
      <w:tblGrid>
        <w:gridCol w:w="2711"/>
        <w:gridCol w:w="2503"/>
        <w:gridCol w:w="2497"/>
      </w:tblGrid>
      <w:tr w:rsidR="00D90220" w:rsidRPr="008D09DD" w14:paraId="571C69F2" w14:textId="77777777" w:rsidTr="00702498">
        <w:trPr>
          <w:cnfStyle w:val="100000000000" w:firstRow="1" w:lastRow="0" w:firstColumn="0" w:lastColumn="0" w:oddVBand="0" w:evenVBand="0" w:oddHBand="0" w:evenHBand="0" w:firstRowFirstColumn="0" w:firstRowLastColumn="0" w:lastRowFirstColumn="0" w:lastRowLastColumn="0"/>
        </w:trPr>
        <w:tc>
          <w:tcPr>
            <w:tcW w:w="2689" w:type="dxa"/>
          </w:tcPr>
          <w:p w14:paraId="571C69EF" w14:textId="21457725" w:rsidR="00D90220" w:rsidRPr="00DF17BB" w:rsidRDefault="00D90220" w:rsidP="00B45A6D">
            <w:pPr>
              <w:pStyle w:val="TableColumnHeadingLeft-White"/>
            </w:pPr>
            <w:r w:rsidRPr="00DF17BB">
              <w:t>Reappointments (</w:t>
            </w:r>
            <w:r w:rsidR="006478E3">
              <w:t>10</w:t>
            </w:r>
            <w:r w:rsidRPr="00DF17BB">
              <w:t>)</w:t>
            </w:r>
          </w:p>
        </w:tc>
        <w:tc>
          <w:tcPr>
            <w:tcW w:w="2506" w:type="dxa"/>
          </w:tcPr>
          <w:p w14:paraId="571C69F0" w14:textId="4D60D466" w:rsidR="00D90220" w:rsidRPr="00DF17BB" w:rsidRDefault="0005163B" w:rsidP="00B45A6D">
            <w:pPr>
              <w:pStyle w:val="TableColumnHeadingLeft-White"/>
            </w:pPr>
            <w:r w:rsidRPr="00DF17BB">
              <w:t>A</w:t>
            </w:r>
            <w:r w:rsidR="00D90220" w:rsidRPr="00DF17BB">
              <w:t>ppointments (</w:t>
            </w:r>
            <w:r w:rsidR="006478E3">
              <w:t>7</w:t>
            </w:r>
            <w:r w:rsidR="00D90220" w:rsidRPr="00DF17BB">
              <w:t>)</w:t>
            </w:r>
          </w:p>
        </w:tc>
        <w:tc>
          <w:tcPr>
            <w:tcW w:w="2506" w:type="dxa"/>
          </w:tcPr>
          <w:p w14:paraId="571C69F1" w14:textId="03F7C7DC" w:rsidR="00D90220" w:rsidRPr="00DF17BB" w:rsidRDefault="00D90220" w:rsidP="00B45A6D">
            <w:pPr>
              <w:pStyle w:val="TableColumnHeadingLeft-White"/>
            </w:pPr>
            <w:r w:rsidRPr="00DF17BB">
              <w:t>Terms completed (</w:t>
            </w:r>
            <w:r w:rsidR="006478E3">
              <w:t>7</w:t>
            </w:r>
            <w:r w:rsidRPr="00DF17BB">
              <w:t>)</w:t>
            </w:r>
          </w:p>
        </w:tc>
      </w:tr>
      <w:tr w:rsidR="00F55703" w:rsidRPr="00B1119B" w14:paraId="571C69F6" w14:textId="77777777" w:rsidTr="00702498">
        <w:trPr>
          <w:cnfStyle w:val="010000000000" w:firstRow="0" w:lastRow="1" w:firstColumn="0" w:lastColumn="0" w:oddVBand="0" w:evenVBand="0" w:oddHBand="0" w:evenHBand="0" w:firstRowFirstColumn="0" w:firstRowLastColumn="0" w:lastRowFirstColumn="0" w:lastRowLastColumn="0"/>
        </w:trPr>
        <w:tc>
          <w:tcPr>
            <w:tcW w:w="2689" w:type="dxa"/>
          </w:tcPr>
          <w:p w14:paraId="571C69F3" w14:textId="5ABD01DD" w:rsidR="004850C2" w:rsidRPr="00BF3F03" w:rsidRDefault="00DF17BB" w:rsidP="00BF3F03">
            <w:pPr>
              <w:pStyle w:val="TableTextLeft-Arial"/>
              <w:rPr>
                <w:highlight w:val="yellow"/>
              </w:rPr>
            </w:pPr>
            <w:r w:rsidRPr="00BF3F03">
              <w:t>Ms Stephanie Charles Ms Teresa Dyson Ms Marina Kelman Mr Jeremy Leibler Ms Sandy Mak Mr Rory Moriarty Ms Karen Phin Ms Sarah Rennie Mr John Sheahan KC Ms Nicola Wakefield Evans AM</w:t>
            </w:r>
          </w:p>
        </w:tc>
        <w:tc>
          <w:tcPr>
            <w:tcW w:w="2506" w:type="dxa"/>
          </w:tcPr>
          <w:p w14:paraId="571C69F4" w14:textId="5F05E309" w:rsidR="00183B64" w:rsidRPr="00BF3F03" w:rsidRDefault="00DF17BB" w:rsidP="00BF3F03">
            <w:pPr>
              <w:pStyle w:val="TableTextLeft-Arial"/>
              <w:rPr>
                <w:highlight w:val="yellow"/>
              </w:rPr>
            </w:pPr>
            <w:r w:rsidRPr="00BF3F03">
              <w:t>Mr Kierin Deeming Ms Katrina Efthim Mr Jonathan Gidney Ms Reeny Paraskeva Mr Richard Phillips Mr Christopher Stavrianou Ms Georgina Varley</w:t>
            </w:r>
          </w:p>
        </w:tc>
        <w:tc>
          <w:tcPr>
            <w:tcW w:w="2506" w:type="dxa"/>
          </w:tcPr>
          <w:p w14:paraId="571C69F5" w14:textId="17A51C60" w:rsidR="00015C62" w:rsidRPr="00BF3F03" w:rsidRDefault="006478E3" w:rsidP="00BF3F03">
            <w:pPr>
              <w:pStyle w:val="TableTextLeft-Arial"/>
            </w:pPr>
            <w:r w:rsidRPr="00BF3F03">
              <w:t xml:space="preserve">Mr Richard Hunt Ms Tracey Horton AO Mr Bill Koeck </w:t>
            </w:r>
            <w:r w:rsidRPr="00BF3F03">
              <w:br/>
              <w:t>Mr Ron Malek Mr John O</w:t>
            </w:r>
            <w:r w:rsidR="008941F8" w:rsidRPr="00BF3F03">
              <w:t>’</w:t>
            </w:r>
            <w:r w:rsidRPr="00BF3F03">
              <w:t>Sullivan Mr Tony Osmond Ms Sharon Warburton</w:t>
            </w:r>
          </w:p>
        </w:tc>
      </w:tr>
    </w:tbl>
    <w:p w14:paraId="571C6A17" w14:textId="77777777" w:rsidR="009B33CD" w:rsidRDefault="009B33CD" w:rsidP="00B46724">
      <w:pPr>
        <w:pStyle w:val="SingleParagraph"/>
      </w:pPr>
    </w:p>
    <w:p w14:paraId="571C6A18" w14:textId="4D3C08B2" w:rsidR="006555DE" w:rsidRPr="00873A42" w:rsidRDefault="006555DE" w:rsidP="0067414D">
      <w:r w:rsidRPr="00873A42">
        <w:t xml:space="preserve">Members are appointed </w:t>
      </w:r>
      <w:r w:rsidR="0003618F" w:rsidRPr="00873A42">
        <w:t>on a part</w:t>
      </w:r>
      <w:r w:rsidR="008941F8">
        <w:noBreakHyphen/>
      </w:r>
      <w:r w:rsidR="0003618F" w:rsidRPr="00873A42">
        <w:t xml:space="preserve">time basis, usually for </w:t>
      </w:r>
      <w:r w:rsidR="002C5454">
        <w:t>3</w:t>
      </w:r>
      <w:r w:rsidR="0003618F" w:rsidRPr="00873A42">
        <w:t xml:space="preserve"> years</w:t>
      </w:r>
      <w:r w:rsidR="0003618F">
        <w:t xml:space="preserve">, </w:t>
      </w:r>
      <w:r w:rsidRPr="00873A42">
        <w:t>by the Governor</w:t>
      </w:r>
      <w:r w:rsidR="008941F8">
        <w:noBreakHyphen/>
      </w:r>
      <w:r w:rsidRPr="00873A42">
        <w:t>General on the nomination of the Minister.</w:t>
      </w:r>
      <w:r w:rsidRPr="00873A42">
        <w:rPr>
          <w:rStyle w:val="FootnoteReference"/>
        </w:rPr>
        <w:footnoteReference w:id="16"/>
      </w:r>
      <w:r w:rsidR="00661B65">
        <w:t xml:space="preserve"> </w:t>
      </w:r>
      <w:r w:rsidRPr="004D1011">
        <w:t xml:space="preserve">State </w:t>
      </w:r>
      <w:r w:rsidR="004D1011" w:rsidRPr="004D1011">
        <w:t xml:space="preserve">and Territory </w:t>
      </w:r>
      <w:r w:rsidRPr="004D1011">
        <w:t xml:space="preserve">Ministers may </w:t>
      </w:r>
      <w:r w:rsidR="00067F56" w:rsidRPr="004D1011">
        <w:t xml:space="preserve">submit nominations to </w:t>
      </w:r>
      <w:r w:rsidRPr="004D1011">
        <w:t>the Minister.</w:t>
      </w:r>
      <w:r w:rsidRPr="00873A42">
        <w:t xml:space="preserve"> </w:t>
      </w:r>
      <w:r w:rsidR="0033584F" w:rsidRPr="00873A42">
        <w:t xml:space="preserve">Members are nominated on the basis of their knowledge and experience in one or more of </w:t>
      </w:r>
      <w:r w:rsidR="007C3D0E">
        <w:t xml:space="preserve">the fields of </w:t>
      </w:r>
      <w:r w:rsidR="0033584F">
        <w:t>business, administration of companies</w:t>
      </w:r>
      <w:r w:rsidR="00D42C13">
        <w:t>,</w:t>
      </w:r>
      <w:r w:rsidR="0033584F">
        <w:t xml:space="preserve"> financial markets</w:t>
      </w:r>
      <w:r w:rsidR="00D42C13">
        <w:t>,</w:t>
      </w:r>
      <w:r w:rsidR="0033584F">
        <w:t xml:space="preserve"> </w:t>
      </w:r>
      <w:r w:rsidR="0033584F" w:rsidRPr="00873A42">
        <w:t xml:space="preserve">financial </w:t>
      </w:r>
      <w:r w:rsidR="0033584F">
        <w:t xml:space="preserve">products and financial services, law, </w:t>
      </w:r>
      <w:r w:rsidR="0033584F" w:rsidRPr="00873A42">
        <w:t>economics and</w:t>
      </w:r>
      <w:r w:rsidR="0033584F">
        <w:t xml:space="preserve"> </w:t>
      </w:r>
      <w:r w:rsidR="0033584F" w:rsidRPr="00873A42">
        <w:t>accounting.</w:t>
      </w:r>
      <w:r w:rsidR="00D42C13">
        <w:rPr>
          <w:rStyle w:val="FootnoteReference"/>
        </w:rPr>
        <w:footnoteReference w:id="17"/>
      </w:r>
      <w:r w:rsidR="00661B65">
        <w:t xml:space="preserve"> </w:t>
      </w:r>
      <w:r w:rsidR="0003618F" w:rsidRPr="00873A42">
        <w:t xml:space="preserve">A mix of expertise, geographical representation and gender representation is </w:t>
      </w:r>
      <w:r w:rsidR="0033584F">
        <w:t xml:space="preserve">also </w:t>
      </w:r>
      <w:r w:rsidR="0003618F" w:rsidRPr="00873A42">
        <w:t>considered.</w:t>
      </w:r>
    </w:p>
    <w:p w14:paraId="6A41AC66" w14:textId="77777777" w:rsidR="00697364" w:rsidRDefault="00CC73CE" w:rsidP="000C37D0">
      <w:pPr>
        <w:pStyle w:val="ChartMainHeading"/>
        <w:spacing w:after="40"/>
      </w:pPr>
      <w:bookmarkStart w:id="130" w:name="_Toc146790824"/>
      <w:bookmarkStart w:id="131" w:name="OLE_LINK3"/>
      <w:bookmarkStart w:id="132" w:name="OLE_LINK4"/>
      <w:r w:rsidRPr="004378E2">
        <w:lastRenderedPageBreak/>
        <w:t>Chart </w:t>
      </w:r>
      <w:r w:rsidR="003A2AD3" w:rsidRPr="004378E2">
        <w:t>2: Panel members</w:t>
      </w:r>
      <w:r w:rsidR="00625C2B" w:rsidRPr="004378E2">
        <w:t xml:space="preserve"> by</w:t>
      </w:r>
      <w:r w:rsidR="003A2AD3" w:rsidRPr="004378E2">
        <w:t xml:space="preserve"> </w:t>
      </w:r>
      <w:r w:rsidR="00E447EC" w:rsidRPr="004378E2">
        <w:t>P</w:t>
      </w:r>
      <w:r w:rsidR="003A2AD3" w:rsidRPr="004378E2">
        <w:t>rofession</w:t>
      </w:r>
      <w:r w:rsidR="0005163B" w:rsidRPr="004378E2">
        <w:t xml:space="preserve"> at 30 June 20</w:t>
      </w:r>
      <w:r w:rsidR="00901DB2" w:rsidRPr="004378E2">
        <w:t>2</w:t>
      </w:r>
      <w:bookmarkEnd w:id="130"/>
      <w:r w:rsidR="004378E2" w:rsidRPr="004378E2">
        <w:t>4</w:t>
      </w:r>
    </w:p>
    <w:p w14:paraId="1AD530E0" w14:textId="2E1DEED4" w:rsidR="00697364" w:rsidRDefault="00726AEE" w:rsidP="002C5454">
      <w:pPr>
        <w:pStyle w:val="ChartGraphic"/>
      </w:pPr>
      <w:r>
        <w:rPr>
          <w:noProof/>
        </w:rPr>
        <w:drawing>
          <wp:inline distT="0" distB="0" distL="0" distR="0" wp14:anchorId="6B1F3A2B" wp14:editId="1B534E2D">
            <wp:extent cx="4572000" cy="3027660"/>
            <wp:effectExtent l="0" t="0" r="0" b="1905"/>
            <wp:docPr id="843903342" name="Picture 10" descr="Chart 2 shows that the Panel is comprised of 13 members with corporate experience, 19 lawyers and 20 ban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03342" name="Picture 10" descr="Chart 2 shows that the Panel is comprised of 13 members with corporate experience, 19 lawyers and 20 banker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3027660"/>
                    </a:xfrm>
                    <a:prstGeom prst="rect">
                      <a:avLst/>
                    </a:prstGeom>
                    <a:noFill/>
                  </pic:spPr>
                </pic:pic>
              </a:graphicData>
            </a:graphic>
          </wp:inline>
        </w:drawing>
      </w:r>
    </w:p>
    <w:p w14:paraId="4BCAE216" w14:textId="77777777" w:rsidR="00726AEE" w:rsidRDefault="00726AEE" w:rsidP="002C5454">
      <w:pPr>
        <w:rPr>
          <w:highlight w:val="yellow"/>
        </w:rPr>
      </w:pPr>
      <w:bookmarkStart w:id="133" w:name="_Toc146790825"/>
    </w:p>
    <w:p w14:paraId="7F58BFD7" w14:textId="77777777" w:rsidR="00726AEE" w:rsidRPr="00726AEE" w:rsidRDefault="00CC73CE" w:rsidP="00DB0F89">
      <w:pPr>
        <w:pStyle w:val="ChartMainHeading"/>
        <w:spacing w:before="400" w:after="40"/>
      </w:pPr>
      <w:r w:rsidRPr="00726AEE">
        <w:t>Chart </w:t>
      </w:r>
      <w:r w:rsidR="003A2AD3" w:rsidRPr="00726AEE">
        <w:t xml:space="preserve">3: Panel members by </w:t>
      </w:r>
      <w:r w:rsidR="00E447EC" w:rsidRPr="00726AEE">
        <w:t>L</w:t>
      </w:r>
      <w:r w:rsidR="006B01D8" w:rsidRPr="00726AEE">
        <w:t>ocation</w:t>
      </w:r>
      <w:r w:rsidR="0005163B" w:rsidRPr="00726AEE">
        <w:t xml:space="preserve"> at 30 June 20</w:t>
      </w:r>
      <w:r w:rsidR="00901DB2" w:rsidRPr="00726AEE">
        <w:t>2</w:t>
      </w:r>
      <w:bookmarkEnd w:id="133"/>
      <w:r w:rsidR="00726AEE" w:rsidRPr="00726AEE">
        <w:t>4</w:t>
      </w:r>
    </w:p>
    <w:p w14:paraId="298E452E" w14:textId="28875512" w:rsidR="00AE1D0A" w:rsidRPr="002C5454" w:rsidRDefault="00287C27" w:rsidP="002C5454">
      <w:pPr>
        <w:pStyle w:val="ChartGraphic"/>
      </w:pPr>
      <w:r>
        <w:rPr>
          <w:noProof/>
        </w:rPr>
        <w:drawing>
          <wp:inline distT="0" distB="0" distL="0" distR="0" wp14:anchorId="666A8129" wp14:editId="19DCEC09">
            <wp:extent cx="5340350" cy="3096895"/>
            <wp:effectExtent l="0" t="0" r="0" b="8255"/>
            <wp:docPr id="2022288647" name="Picture 1" descr="Chart 3 shows that the Panel is comprised of 26 members in NSW, 16 members in VIC, 3 members in WA, 3 members in QLD, 2 members in SA, 1 member in TAS and 1 member in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88647" name="Picture 1" descr="Chart 3 shows that the Panel is comprised of 26 members in NSW, 16 members in VIC, 3 members in WA, 3 members in QLD, 2 members in SA, 1 member in TAS and 1 member in NZ."/>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40350" cy="3096895"/>
                    </a:xfrm>
                    <a:prstGeom prst="rect">
                      <a:avLst/>
                    </a:prstGeom>
                    <a:noFill/>
                  </pic:spPr>
                </pic:pic>
              </a:graphicData>
            </a:graphic>
          </wp:inline>
        </w:drawing>
      </w:r>
    </w:p>
    <w:p w14:paraId="571C6A1E" w14:textId="3515179D" w:rsidR="003E6619" w:rsidRPr="007253B5" w:rsidRDefault="00CC73CE" w:rsidP="000252D1">
      <w:pPr>
        <w:pStyle w:val="ChartMainHeading"/>
        <w:spacing w:before="460"/>
      </w:pPr>
      <w:bookmarkStart w:id="134" w:name="_Toc146790826"/>
      <w:r w:rsidRPr="00726AEE">
        <w:lastRenderedPageBreak/>
        <w:t>Chart </w:t>
      </w:r>
      <w:r w:rsidR="003E6619" w:rsidRPr="00726AEE">
        <w:t xml:space="preserve">4: Panel members by </w:t>
      </w:r>
      <w:r w:rsidR="00E447EC" w:rsidRPr="00726AEE">
        <w:t>G</w:t>
      </w:r>
      <w:r w:rsidR="003E6619" w:rsidRPr="00726AEE">
        <w:t>ender</w:t>
      </w:r>
      <w:r w:rsidR="0005163B" w:rsidRPr="00726AEE">
        <w:t xml:space="preserve"> at 30 June 20</w:t>
      </w:r>
      <w:r w:rsidR="00901DB2" w:rsidRPr="00726AEE">
        <w:t>2</w:t>
      </w:r>
      <w:bookmarkEnd w:id="134"/>
      <w:r w:rsidR="00726AEE" w:rsidRPr="00726AEE">
        <w:t>4</w:t>
      </w:r>
      <w:r w:rsidR="003E6619" w:rsidRPr="00726AEE">
        <w:fldChar w:fldCharType="begin"/>
      </w:r>
      <w:r w:rsidR="003E6619" w:rsidRPr="00726AEE">
        <w:instrText>xe "Gender"</w:instrText>
      </w:r>
      <w:r w:rsidR="003E6619" w:rsidRPr="00726AEE">
        <w:fldChar w:fldCharType="end"/>
      </w:r>
    </w:p>
    <w:p w14:paraId="2B75FDBD" w14:textId="181E984B" w:rsidR="00CE67DF" w:rsidRPr="007B72E6" w:rsidRDefault="00726AEE" w:rsidP="007B72E6">
      <w:pPr>
        <w:pStyle w:val="ChartGraphic"/>
      </w:pPr>
      <w:r>
        <w:rPr>
          <w:noProof/>
        </w:rPr>
        <w:drawing>
          <wp:inline distT="0" distB="0" distL="0" distR="0" wp14:anchorId="531B6E80" wp14:editId="4FC16464">
            <wp:extent cx="4572635" cy="2731135"/>
            <wp:effectExtent l="0" t="0" r="0" b="0"/>
            <wp:docPr id="903376466" name="Picture 13" descr="Chart 4 shows that the Panel is comprised of 24 male members and 28 female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76466" name="Picture 13" descr="Chart 4 shows that the Panel is comprised of 24 male members and 28 female members.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635" cy="2731135"/>
                    </a:xfrm>
                    <a:prstGeom prst="rect">
                      <a:avLst/>
                    </a:prstGeom>
                    <a:noFill/>
                  </pic:spPr>
                </pic:pic>
              </a:graphicData>
            </a:graphic>
          </wp:inline>
        </w:drawing>
      </w:r>
    </w:p>
    <w:p w14:paraId="571C6A1F" w14:textId="56F260BC" w:rsidR="00E447EC" w:rsidRPr="005A4417" w:rsidRDefault="00E447EC" w:rsidP="002C5454">
      <w:r w:rsidRPr="005A4417">
        <w:br w:type="page"/>
      </w:r>
    </w:p>
    <w:p w14:paraId="571C6A20" w14:textId="55C60E5F" w:rsidR="00B85668" w:rsidRPr="00326C28" w:rsidRDefault="0083057A" w:rsidP="00182BD1">
      <w:pPr>
        <w:pStyle w:val="Heading3"/>
        <w:rPr>
          <w:i/>
        </w:rPr>
      </w:pPr>
      <w:r w:rsidRPr="00326C28">
        <w:lastRenderedPageBreak/>
        <w:t>Members</w:t>
      </w:r>
      <w:r w:rsidR="008941F8">
        <w:t>’</w:t>
      </w:r>
      <w:r w:rsidRPr="00326C28">
        <w:t xml:space="preserve"> b</w:t>
      </w:r>
      <w:r w:rsidR="00B85668" w:rsidRPr="00326C28">
        <w:t>iographies</w:t>
      </w:r>
      <w:r w:rsidR="00743877" w:rsidRPr="00326C28">
        <w:fldChar w:fldCharType="begin"/>
      </w:r>
      <w:r w:rsidR="00743877" w:rsidRPr="00326C28">
        <w:instrText>xe "Panel members"</w:instrText>
      </w:r>
      <w:r w:rsidR="00743877" w:rsidRPr="00326C28">
        <w:fldChar w:fldCharType="end"/>
      </w:r>
      <w:r w:rsidR="00A06260" w:rsidRPr="00326C28">
        <w:t xml:space="preserve"> </w:t>
      </w:r>
    </w:p>
    <w:bookmarkEnd w:id="131"/>
    <w:bookmarkEnd w:id="132"/>
    <w:p w14:paraId="25F1C9B5" w14:textId="69D2B4E6" w:rsidR="00F75608" w:rsidRPr="00F43369" w:rsidRDefault="00F75608" w:rsidP="00F75608">
      <w:r w:rsidRPr="00F43369">
        <w:rPr>
          <w:rStyle w:val="Members"/>
          <w:rFonts w:eastAsia="Batang"/>
        </w:rPr>
        <w:t>Alex Cartel (President)</w:t>
      </w:r>
      <w:r w:rsidRPr="00F43369">
        <w:t xml:space="preserve"> – Managing Director, Head of </w:t>
      </w:r>
      <w:r w:rsidR="00B15406">
        <w:t xml:space="preserve">Global Advisory, Australia, Rothschild &amp; Co (with effect from October 2024). </w:t>
      </w:r>
      <w:r w:rsidRPr="00F43369">
        <w:t>Member since 2015.</w:t>
      </w:r>
    </w:p>
    <w:p w14:paraId="47D3E6FE" w14:textId="21745505" w:rsidR="00F75608" w:rsidRPr="00F43369" w:rsidRDefault="00F75608" w:rsidP="00F75608">
      <w:r w:rsidRPr="00F43369">
        <w:rPr>
          <w:rStyle w:val="Members"/>
          <w:rFonts w:eastAsia="Batang"/>
        </w:rPr>
        <w:t xml:space="preserve">Yasmin Allen AM </w:t>
      </w:r>
      <w:r w:rsidRPr="00F43369">
        <w:t>– Chairman of Digital Skills Organisation and Tiimely. Non</w:t>
      </w:r>
      <w:r w:rsidR="008941F8">
        <w:noBreakHyphen/>
      </w:r>
      <w:r w:rsidRPr="00F43369">
        <w:t>executive director of QBE Insurance, Santos Limited and ASX Limited. Member since 2017.</w:t>
      </w:r>
    </w:p>
    <w:p w14:paraId="275167A1" w14:textId="01D0DFA7" w:rsidR="00F75608" w:rsidRPr="00F43369" w:rsidRDefault="00F75608" w:rsidP="00F75608">
      <w:r w:rsidRPr="00F43369">
        <w:rPr>
          <w:rStyle w:val="Members"/>
          <w:rFonts w:eastAsia="Batang"/>
        </w:rPr>
        <w:t>Kelvin Barry</w:t>
      </w:r>
      <w:r w:rsidRPr="00F43369">
        <w:t xml:space="preserve"> – Managing Director and Co</w:t>
      </w:r>
      <w:r w:rsidR="008941F8">
        <w:noBreakHyphen/>
      </w:r>
      <w:r w:rsidRPr="00F43369">
        <w:t>Head of Advisory and Capital Markets, Australasia at UBS AG. Member since 2016.</w:t>
      </w:r>
    </w:p>
    <w:p w14:paraId="79015EA8" w14:textId="4AD87BCB" w:rsidR="00F75608" w:rsidRPr="00B04BE9" w:rsidRDefault="00F75608" w:rsidP="00F75608">
      <w:bookmarkStart w:id="135" w:name="_Hlk171609531"/>
      <w:r w:rsidRPr="00B04BE9">
        <w:rPr>
          <w:rStyle w:val="Members"/>
          <w:rFonts w:eastAsia="Batang"/>
        </w:rPr>
        <w:t>Robin Bishop</w:t>
      </w:r>
      <w:r w:rsidRPr="00B04BE9">
        <w:rPr>
          <w:rFonts w:ascii="Arial Bold" w:hAnsi="Arial Bold" w:cs="Arial"/>
          <w:b/>
          <w:color w:val="0E406A" w:themeColor="accent1"/>
          <w:sz w:val="20"/>
        </w:rPr>
        <w:t xml:space="preserve"> </w:t>
      </w:r>
      <w:r w:rsidRPr="00B04BE9">
        <w:t>– Managing Partner at BGH Capital, non</w:t>
      </w:r>
      <w:r w:rsidR="008941F8">
        <w:noBreakHyphen/>
      </w:r>
      <w:r w:rsidRPr="00B04BE9">
        <w:t>executive director of the Burnet Institute for Medical Research and AFL Commissioner. Member 2011–2014 and re</w:t>
      </w:r>
      <w:r w:rsidR="008941F8">
        <w:noBreakHyphen/>
      </w:r>
      <w:r w:rsidRPr="00B04BE9">
        <w:t>appointed 2016.</w:t>
      </w:r>
    </w:p>
    <w:p w14:paraId="449944B3" w14:textId="77777777" w:rsidR="00F75608" w:rsidRPr="00627DAA" w:rsidRDefault="00F75608" w:rsidP="00F75608">
      <w:bookmarkStart w:id="136" w:name="_Hlk171609585"/>
      <w:bookmarkEnd w:id="135"/>
      <w:r w:rsidRPr="00627DAA">
        <w:rPr>
          <w:rStyle w:val="Members"/>
          <w:rFonts w:eastAsia="Batang"/>
        </w:rPr>
        <w:t>Carl Blanchard</w:t>
      </w:r>
      <w:r w:rsidRPr="00627DAA">
        <w:rPr>
          <w:rFonts w:ascii="Arial Bold" w:hAnsi="Arial Bold" w:cs="Arial"/>
          <w:b/>
          <w:color w:val="1F497D" w:themeColor="text2"/>
          <w:sz w:val="20"/>
        </w:rPr>
        <w:t xml:space="preserve"> </w:t>
      </w:r>
      <w:r w:rsidRPr="00627DAA">
        <w:rPr>
          <w:color w:val="1F497D" w:themeColor="text2"/>
        </w:rPr>
        <w:t xml:space="preserve">– </w:t>
      </w:r>
      <w:r w:rsidRPr="00627DAA">
        <w:t>Chair of New Zealand Takeovers Panel and Partner at PwC New Zealand. Member since 2022.</w:t>
      </w:r>
    </w:p>
    <w:p w14:paraId="46ED4FA2" w14:textId="77777777" w:rsidR="00F75608" w:rsidRPr="00627DAA" w:rsidRDefault="00F75608" w:rsidP="00F75608">
      <w:bookmarkStart w:id="137" w:name="_Hlk171609759"/>
      <w:bookmarkEnd w:id="136"/>
      <w:r w:rsidRPr="00627DAA">
        <w:rPr>
          <w:rStyle w:val="Members"/>
          <w:rFonts w:eastAsia="Batang"/>
        </w:rPr>
        <w:t>Michael Borsky KC</w:t>
      </w:r>
      <w:r w:rsidRPr="00627DAA">
        <w:rPr>
          <w:rFonts w:ascii="Arial Bold" w:hAnsi="Arial Bold" w:cs="Arial"/>
          <w:b/>
          <w:color w:val="1F497D" w:themeColor="text2"/>
          <w:sz w:val="20"/>
        </w:rPr>
        <w:t xml:space="preserve"> </w:t>
      </w:r>
      <w:r w:rsidRPr="00627DAA">
        <w:rPr>
          <w:color w:val="1F497D" w:themeColor="text2"/>
        </w:rPr>
        <w:t>–</w:t>
      </w:r>
      <w:r w:rsidRPr="00627DAA">
        <w:rPr>
          <w:rFonts w:ascii="Arial Bold" w:hAnsi="Arial Bold" w:cs="Arial"/>
          <w:b/>
          <w:color w:val="1F497D" w:themeColor="text2"/>
          <w:sz w:val="20"/>
        </w:rPr>
        <w:t xml:space="preserve"> </w:t>
      </w:r>
      <w:r w:rsidRPr="00627DAA">
        <w:rPr>
          <w:color w:val="auto"/>
        </w:rPr>
        <w:t>B</w:t>
      </w:r>
      <w:r w:rsidRPr="00627DAA">
        <w:t xml:space="preserve">arrister and National Competition Councillor. Member since 2019. </w:t>
      </w:r>
    </w:p>
    <w:p w14:paraId="1914D411" w14:textId="44A4105A" w:rsidR="00F75608" w:rsidRPr="00627DAA" w:rsidRDefault="00F75608" w:rsidP="00F75608">
      <w:bookmarkStart w:id="138" w:name="_Hlk171609795"/>
      <w:bookmarkEnd w:id="137"/>
      <w:r w:rsidRPr="00627DAA">
        <w:rPr>
          <w:rStyle w:val="Members"/>
          <w:rFonts w:eastAsia="Batang"/>
        </w:rPr>
        <w:t>Constantine Boulougouris</w:t>
      </w:r>
      <w:r w:rsidRPr="00627DAA">
        <w:rPr>
          <w:rFonts w:ascii="Arial Bold" w:hAnsi="Arial Bold" w:cs="Arial"/>
          <w:b/>
          <w:color w:val="1F497D" w:themeColor="text2"/>
          <w:sz w:val="20"/>
        </w:rPr>
        <w:t xml:space="preserve"> </w:t>
      </w:r>
      <w:r w:rsidRPr="00627DAA">
        <w:rPr>
          <w:color w:val="1F497D" w:themeColor="text2"/>
        </w:rPr>
        <w:t>–</w:t>
      </w:r>
      <w:r w:rsidRPr="00627DAA">
        <w:rPr>
          <w:rFonts w:ascii="Arial Bold" w:hAnsi="Arial Bold" w:cs="Arial"/>
          <w:b/>
          <w:color w:val="1F497D" w:themeColor="text2"/>
          <w:sz w:val="20"/>
        </w:rPr>
        <w:t xml:space="preserve"> </w:t>
      </w:r>
      <w:r w:rsidRPr="00627DAA">
        <w:t>Partner at MinterEllison, Co</w:t>
      </w:r>
      <w:r w:rsidR="008941F8">
        <w:noBreakHyphen/>
      </w:r>
      <w:r w:rsidRPr="00627DAA">
        <w:t>Head of the M&amp;A/Capital Markets Team. Member since 2022.</w:t>
      </w:r>
    </w:p>
    <w:bookmarkEnd w:id="138"/>
    <w:p w14:paraId="4F185E53" w14:textId="77777777" w:rsidR="00F75608" w:rsidRPr="00F43369" w:rsidRDefault="00F75608" w:rsidP="00F75608">
      <w:r w:rsidRPr="00F43369">
        <w:rPr>
          <w:rStyle w:val="Members"/>
          <w:rFonts w:eastAsia="Batang"/>
        </w:rPr>
        <w:t>James Burchnall</w:t>
      </w:r>
      <w:r w:rsidRPr="00F43369">
        <w:rPr>
          <w:color w:val="1F497D" w:themeColor="text2"/>
        </w:rPr>
        <w:t xml:space="preserve"> – </w:t>
      </w:r>
      <w:r w:rsidRPr="00F43369">
        <w:t>Director at Kain Lawyers, leader of Public M&amp;A and Equity Capital Markets practice. Member since 2022.</w:t>
      </w:r>
    </w:p>
    <w:p w14:paraId="74E7814C" w14:textId="77777777" w:rsidR="00F75608" w:rsidRPr="00F43369" w:rsidRDefault="00F75608" w:rsidP="00F75608">
      <w:r w:rsidRPr="00F43369">
        <w:rPr>
          <w:rStyle w:val="Members"/>
          <w:rFonts w:eastAsia="Batang"/>
        </w:rPr>
        <w:t>Stephanie Charles</w:t>
      </w:r>
      <w:r w:rsidRPr="00F43369">
        <w:rPr>
          <w:color w:val="1F497D" w:themeColor="text2"/>
        </w:rPr>
        <w:t xml:space="preserve"> – </w:t>
      </w:r>
      <w:r w:rsidRPr="00F43369">
        <w:t>Deal Partner and Head of Capital Markets at BGH Capital. Member since 2015.</w:t>
      </w:r>
    </w:p>
    <w:p w14:paraId="70583712" w14:textId="77777777" w:rsidR="00F75608" w:rsidRPr="00F43369" w:rsidRDefault="00F75608" w:rsidP="00F75608">
      <w:r w:rsidRPr="00F43369">
        <w:rPr>
          <w:rStyle w:val="Members"/>
          <w:rFonts w:eastAsia="Batang"/>
        </w:rPr>
        <w:t>Alberto Colla</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t>Partner at MinterEllison. Member since 2022.</w:t>
      </w:r>
    </w:p>
    <w:p w14:paraId="03458E20" w14:textId="494E9EDE" w:rsidR="00F75608" w:rsidRPr="00F43369" w:rsidRDefault="00F75608" w:rsidP="00F43369">
      <w:pPr>
        <w:rPr>
          <w:color w:val="1F497D" w:themeColor="text2"/>
        </w:rPr>
      </w:pPr>
      <w:bookmarkStart w:id="139" w:name="_Hlk75529255"/>
      <w:r w:rsidRPr="00F43369">
        <w:rPr>
          <w:rStyle w:val="Members"/>
          <w:rFonts w:eastAsia="Batang"/>
        </w:rPr>
        <w:t>Bruce Cowley</w:t>
      </w:r>
      <w:r w:rsidRPr="00F43369">
        <w:rPr>
          <w:color w:val="1F497D" w:themeColor="text2"/>
        </w:rPr>
        <w:t xml:space="preserve"> </w:t>
      </w:r>
      <w:r w:rsidRPr="00F43369">
        <w:rPr>
          <w:color w:val="auto"/>
        </w:rPr>
        <w:t xml:space="preserve">– </w:t>
      </w:r>
      <w:r w:rsidR="00F43369" w:rsidRPr="00F43369">
        <w:rPr>
          <w:color w:val="auto"/>
        </w:rPr>
        <w:t>Non executive director of Australian Retirement Trust, Sunshine Coast Hospital and Health Service, South Bank Corporation, Klarna Australia Pty Ltd, Counter Ruck Pte Ltd (Fijian Drua Rugby) and Chair of the Queensland Trust for Nature. Adjunct Professor University of Queensland. Member since 2016.</w:t>
      </w:r>
    </w:p>
    <w:p w14:paraId="1E6A1A59" w14:textId="77777777" w:rsidR="00F75608" w:rsidRPr="00F43369" w:rsidRDefault="00F75608" w:rsidP="00F75608">
      <w:pPr>
        <w:rPr>
          <w:b/>
          <w:bCs/>
          <w:color w:val="0E406A" w:themeColor="accent1"/>
          <w:sz w:val="19"/>
          <w:szCs w:val="19"/>
        </w:rPr>
      </w:pPr>
      <w:r w:rsidRPr="00F43369">
        <w:rPr>
          <w:rFonts w:ascii="Arial" w:hAnsi="Arial" w:cs="Arial"/>
          <w:b/>
          <w:bCs/>
          <w:color w:val="0E406A" w:themeColor="accent1"/>
          <w:sz w:val="19"/>
          <w:szCs w:val="19"/>
          <w:shd w:val="clear" w:color="auto" w:fill="FFFFFF"/>
        </w:rPr>
        <w:t xml:space="preserve">Kierin Deeming </w:t>
      </w:r>
      <w:r w:rsidRPr="00F43369">
        <w:rPr>
          <w:color w:val="auto"/>
        </w:rPr>
        <w:t>– Managing Director and Head of M&amp;A Australia and New Zealand at J.P. Morgan. Member since 2024.</w:t>
      </w:r>
    </w:p>
    <w:bookmarkEnd w:id="139"/>
    <w:p w14:paraId="67818F11" w14:textId="77777777" w:rsidR="00F75608" w:rsidRPr="00F43369" w:rsidRDefault="00F75608" w:rsidP="00F75608">
      <w:r w:rsidRPr="00F43369">
        <w:rPr>
          <w:rStyle w:val="Members"/>
          <w:rFonts w:eastAsia="Batang"/>
        </w:rPr>
        <w:t>Chelsey Drake</w:t>
      </w:r>
      <w:r w:rsidRPr="00F43369">
        <w:rPr>
          <w:color w:val="1F497D" w:themeColor="text2"/>
        </w:rPr>
        <w:t xml:space="preserve"> – </w:t>
      </w:r>
      <w:r w:rsidRPr="00F43369">
        <w:t>Partner at Allens. Member since 2016.</w:t>
      </w:r>
    </w:p>
    <w:p w14:paraId="705A5BA2" w14:textId="117AF96E" w:rsidR="00F75608" w:rsidRPr="00F43369" w:rsidRDefault="00F75608" w:rsidP="00F75608">
      <w:r w:rsidRPr="00F43369">
        <w:rPr>
          <w:rStyle w:val="Members"/>
          <w:rFonts w:eastAsia="Batang"/>
        </w:rPr>
        <w:lastRenderedPageBreak/>
        <w:t>Teresa Dyson</w:t>
      </w:r>
      <w:r w:rsidRPr="00F43369">
        <w:rPr>
          <w:color w:val="1F497D" w:themeColor="text2"/>
        </w:rPr>
        <w:t xml:space="preserve"> – </w:t>
      </w:r>
      <w:r w:rsidRPr="00F43369">
        <w:t>Non</w:t>
      </w:r>
      <w:r w:rsidR="008941F8">
        <w:noBreakHyphen/>
      </w:r>
      <w:r w:rsidRPr="00F43369">
        <w:t>executive director of Seven West Media</w:t>
      </w:r>
      <w:r w:rsidR="00F43369" w:rsidRPr="00F43369">
        <w:t xml:space="preserve"> Ltd</w:t>
      </w:r>
      <w:r w:rsidRPr="00F43369">
        <w:t>, Genex Power</w:t>
      </w:r>
      <w:r w:rsidR="00F43369" w:rsidRPr="00F43369">
        <w:t xml:space="preserve"> Ltd</w:t>
      </w:r>
      <w:r w:rsidRPr="00F43369">
        <w:t>, Brighter Super</w:t>
      </w:r>
      <w:r w:rsidR="00F43369" w:rsidRPr="00F43369">
        <w:t xml:space="preserve">, </w:t>
      </w:r>
      <w:r w:rsidRPr="00F43369">
        <w:t>Energy Queensland</w:t>
      </w:r>
      <w:r w:rsidR="00F43369" w:rsidRPr="00F43369">
        <w:t xml:space="preserve"> and </w:t>
      </w:r>
      <w:r w:rsidRPr="00F43369">
        <w:t>Shine Justice</w:t>
      </w:r>
      <w:r w:rsidR="00F43369" w:rsidRPr="00F43369">
        <w:t xml:space="preserve"> Ltd</w:t>
      </w:r>
      <w:r w:rsidRPr="00F43369">
        <w:t>. Member of Gold Coast Hospital and Health Board.</w:t>
      </w:r>
      <w:r w:rsidR="00F43369" w:rsidRPr="00F43369">
        <w:t xml:space="preserve"> </w:t>
      </w:r>
      <w:r w:rsidRPr="00F43369">
        <w:t>Member since 2018.</w:t>
      </w:r>
    </w:p>
    <w:p w14:paraId="557A5B99" w14:textId="60E97843" w:rsidR="00F75608" w:rsidRPr="00F75608" w:rsidRDefault="00F75608" w:rsidP="00F75608">
      <w:pPr>
        <w:rPr>
          <w:b/>
          <w:bCs/>
          <w:color w:val="0E406A" w:themeColor="accent1"/>
          <w:sz w:val="19"/>
          <w:szCs w:val="19"/>
        </w:rPr>
      </w:pPr>
      <w:r w:rsidRPr="00F75608">
        <w:rPr>
          <w:rFonts w:ascii="Arial" w:hAnsi="Arial" w:cs="Arial"/>
          <w:b/>
          <w:bCs/>
          <w:color w:val="0E406A" w:themeColor="accent1"/>
          <w:sz w:val="19"/>
          <w:szCs w:val="19"/>
          <w:shd w:val="clear" w:color="auto" w:fill="FFFFFF"/>
        </w:rPr>
        <w:t xml:space="preserve">Katrina Efthim </w:t>
      </w:r>
      <w:r w:rsidRPr="00F75608">
        <w:rPr>
          <w:color w:val="auto"/>
        </w:rPr>
        <w:t>– Managing Director and Head of Consumer, Retail and Healthcare Advisory (Australia and New Zealand) at Citigroup. Member since 2024.</w:t>
      </w:r>
    </w:p>
    <w:p w14:paraId="5218DF43" w14:textId="148FC8CD" w:rsidR="00F75608" w:rsidRPr="00F43369" w:rsidRDefault="00F75608" w:rsidP="00F75608">
      <w:r w:rsidRPr="00F43369">
        <w:rPr>
          <w:rStyle w:val="Members"/>
          <w:rFonts w:eastAsia="Batang"/>
        </w:rPr>
        <w:t>Sylvia Falzon</w:t>
      </w:r>
      <w:r w:rsidRPr="00F43369">
        <w:rPr>
          <w:rFonts w:ascii="Arial Bold" w:hAnsi="Arial Bold" w:cs="Arial"/>
          <w:b/>
          <w:color w:val="1F497D" w:themeColor="text2"/>
          <w:sz w:val="20"/>
        </w:rPr>
        <w:t xml:space="preserve"> </w:t>
      </w:r>
      <w:r w:rsidRPr="00F43369">
        <w:rPr>
          <w:color w:val="1F497D" w:themeColor="text2"/>
        </w:rPr>
        <w:t xml:space="preserve">– </w:t>
      </w:r>
      <w:r w:rsidRPr="00F43369">
        <w:t>Non</w:t>
      </w:r>
      <w:r w:rsidR="008941F8">
        <w:noBreakHyphen/>
      </w:r>
      <w:r w:rsidRPr="00F43369">
        <w:t>executive director of Suncorp Group</w:t>
      </w:r>
      <w:r w:rsidR="00F43369" w:rsidRPr="00F43369">
        <w:t xml:space="preserve">, </w:t>
      </w:r>
      <w:r w:rsidRPr="00F43369">
        <w:t>Premier Investments</w:t>
      </w:r>
      <w:r w:rsidR="00F43369" w:rsidRPr="00F43369">
        <w:t xml:space="preserve"> and Catholic Health Australia</w:t>
      </w:r>
      <w:r w:rsidRPr="00F43369">
        <w:t>. Chairman of Cabrini Health Australia. Member since 2023.</w:t>
      </w:r>
    </w:p>
    <w:p w14:paraId="1F39EFA6" w14:textId="4457284F" w:rsidR="00F75608" w:rsidRPr="00F43369" w:rsidRDefault="00F75608" w:rsidP="00F75608">
      <w:pPr>
        <w:spacing w:after="220"/>
        <w:ind w:right="56"/>
      </w:pPr>
      <w:r w:rsidRPr="00F43369">
        <w:rPr>
          <w:rStyle w:val="Members"/>
          <w:rFonts w:eastAsia="Batang"/>
        </w:rPr>
        <w:t>Joseph Fayyad</w:t>
      </w:r>
      <w:r w:rsidRPr="00F43369">
        <w:rPr>
          <w:rFonts w:ascii="Arial Bold" w:hAnsi="Arial Bold" w:cs="Arial"/>
          <w:b/>
          <w:color w:val="1F497D" w:themeColor="text2"/>
          <w:sz w:val="20"/>
        </w:rPr>
        <w:t xml:space="preserve"> </w:t>
      </w:r>
      <w:r w:rsidRPr="00F43369">
        <w:rPr>
          <w:color w:val="1F497D" w:themeColor="text2"/>
        </w:rPr>
        <w:t xml:space="preserve">– </w:t>
      </w:r>
      <w:r w:rsidRPr="00F43369">
        <w:t xml:space="preserve">Australia Chief Executive Officer </w:t>
      </w:r>
      <w:r w:rsidR="00F43369" w:rsidRPr="00F43369">
        <w:t>for</w:t>
      </w:r>
      <w:r w:rsidRPr="00F43369">
        <w:t xml:space="preserve"> Bank of America</w:t>
      </w:r>
      <w:r w:rsidR="00F43369" w:rsidRPr="00F43369">
        <w:t xml:space="preserve"> and BofA Securities</w:t>
      </w:r>
      <w:r w:rsidRPr="00F43369">
        <w:t>. Member since 2023.</w:t>
      </w:r>
    </w:p>
    <w:p w14:paraId="285EC3A3" w14:textId="59B3A659" w:rsidR="00F75608" w:rsidRPr="00F75608" w:rsidRDefault="00F75608" w:rsidP="00F75608">
      <w:pPr>
        <w:spacing w:after="220"/>
        <w:ind w:right="56"/>
        <w:rPr>
          <w:rStyle w:val="Members"/>
          <w:rFonts w:ascii="Garamond" w:hAnsi="Garamond"/>
          <w:b w:val="0"/>
          <w:color w:val="000000"/>
          <w:sz w:val="22"/>
        </w:rPr>
      </w:pPr>
      <w:r w:rsidRPr="00F75608">
        <w:rPr>
          <w:rStyle w:val="Members"/>
          <w:rFonts w:eastAsia="Batang"/>
        </w:rPr>
        <w:t>Marissa Freund</w:t>
      </w:r>
      <w:r w:rsidRPr="00F75608">
        <w:rPr>
          <w:rFonts w:ascii="Arial Bold" w:hAnsi="Arial Bold" w:cs="Arial"/>
          <w:b/>
          <w:color w:val="1F497D" w:themeColor="text2"/>
          <w:sz w:val="20"/>
        </w:rPr>
        <w:t xml:space="preserve"> </w:t>
      </w:r>
      <w:r w:rsidRPr="00F75608">
        <w:rPr>
          <w:color w:val="1F497D" w:themeColor="text2"/>
        </w:rPr>
        <w:t>–</w:t>
      </w:r>
      <w:r w:rsidRPr="00F75608">
        <w:rPr>
          <w:rFonts w:ascii="Arial Bold" w:hAnsi="Arial Bold" w:cs="Arial"/>
          <w:b/>
          <w:color w:val="1F497D" w:themeColor="text2"/>
          <w:sz w:val="20"/>
        </w:rPr>
        <w:t xml:space="preserve"> </w:t>
      </w:r>
      <w:r w:rsidRPr="00F75608">
        <w:t>Managing Director and Head of Mergers &amp; Acquisitions (Australia &amp; New Zealand) at Goldman Sachs. Member since 2019.</w:t>
      </w:r>
    </w:p>
    <w:p w14:paraId="56841669" w14:textId="71846A81" w:rsidR="00F75608" w:rsidRPr="00812C3E" w:rsidRDefault="00812C3E" w:rsidP="00F75608">
      <w:pPr>
        <w:spacing w:after="220"/>
        <w:ind w:right="56"/>
        <w:rPr>
          <w:rFonts w:cs="Arial"/>
          <w:bCs/>
          <w:szCs w:val="19"/>
          <w:shd w:val="clear" w:color="auto" w:fill="FFFFFF"/>
        </w:rPr>
      </w:pPr>
      <w:r w:rsidRPr="00812C3E">
        <w:rPr>
          <w:rFonts w:ascii="Arial" w:hAnsi="Arial" w:cs="Arial"/>
          <w:b/>
          <w:bCs/>
          <w:color w:val="0E406A" w:themeColor="accent1"/>
          <w:sz w:val="19"/>
          <w:szCs w:val="19"/>
          <w:shd w:val="clear" w:color="auto" w:fill="FFFFFF"/>
        </w:rPr>
        <w:t xml:space="preserve">Jonathan </w:t>
      </w:r>
      <w:r w:rsidR="00F75608" w:rsidRPr="00812C3E">
        <w:rPr>
          <w:rFonts w:ascii="Arial" w:hAnsi="Arial" w:cs="Arial"/>
          <w:b/>
          <w:bCs/>
          <w:color w:val="0E406A" w:themeColor="accent1"/>
          <w:sz w:val="19"/>
          <w:szCs w:val="19"/>
          <w:shd w:val="clear" w:color="auto" w:fill="FFFFFF"/>
        </w:rPr>
        <w:t xml:space="preserve">Gidney </w:t>
      </w:r>
      <w:r w:rsidR="00F75608" w:rsidRPr="00812C3E">
        <w:rPr>
          <w:color w:val="auto"/>
        </w:rPr>
        <w:t>–</w:t>
      </w:r>
      <w:r w:rsidR="00F75608" w:rsidRPr="00812C3E">
        <w:rPr>
          <w:color w:val="1F497D" w:themeColor="text2"/>
        </w:rPr>
        <w:t xml:space="preserve"> </w:t>
      </w:r>
      <w:r w:rsidR="00F75608" w:rsidRPr="00812C3E">
        <w:rPr>
          <w:color w:val="auto"/>
        </w:rPr>
        <w:t>Non</w:t>
      </w:r>
      <w:r w:rsidR="008941F8">
        <w:rPr>
          <w:color w:val="auto"/>
        </w:rPr>
        <w:noBreakHyphen/>
      </w:r>
      <w:r w:rsidR="00F75608" w:rsidRPr="00812C3E">
        <w:rPr>
          <w:color w:val="auto"/>
        </w:rPr>
        <w:t>executive director at FNZ Group and Director at El Calamar Capital. Senior Advisor at Wilsons Advisory. Member since 2024.</w:t>
      </w:r>
    </w:p>
    <w:p w14:paraId="245C9DF3" w14:textId="39D98D9E" w:rsidR="00F75608" w:rsidRPr="00F43369" w:rsidRDefault="00F75608" w:rsidP="00F75608">
      <w:pPr>
        <w:spacing w:after="220"/>
        <w:ind w:right="56"/>
      </w:pPr>
      <w:r w:rsidRPr="00F43369">
        <w:rPr>
          <w:rStyle w:val="Members"/>
          <w:rFonts w:eastAsia="Batang"/>
        </w:rPr>
        <w:t>Elizabeth Hallett</w:t>
      </w:r>
      <w:r w:rsidRPr="00F43369">
        <w:rPr>
          <w:color w:val="1F497D" w:themeColor="text2"/>
        </w:rPr>
        <w:t xml:space="preserve"> </w:t>
      </w:r>
      <w:r w:rsidRPr="00F43369">
        <w:rPr>
          <w:color w:val="auto"/>
        </w:rPr>
        <w:t xml:space="preserve">– </w:t>
      </w:r>
      <w:r w:rsidR="00F43369" w:rsidRPr="00F43369">
        <w:rPr>
          <w:color w:val="auto"/>
        </w:rPr>
        <w:t>Deputy Chair, Civil Aviation Safety Authority, non</w:t>
      </w:r>
      <w:r w:rsidR="008941F8">
        <w:rPr>
          <w:color w:val="auto"/>
        </w:rPr>
        <w:noBreakHyphen/>
      </w:r>
      <w:r w:rsidR="00F43369" w:rsidRPr="00F43369">
        <w:rPr>
          <w:color w:val="auto"/>
        </w:rPr>
        <w:t>executive director of Australian Retirement Trust, Lynch Group Holdings Limited, Australian Registry Investments Pty Ltd, and Clayton Utz, and member of the advisory board of John Sample Group. Member since 2013.</w:t>
      </w:r>
    </w:p>
    <w:p w14:paraId="10244B06" w14:textId="1B9EE041" w:rsidR="00F75608" w:rsidRPr="00F43369" w:rsidRDefault="00F75608" w:rsidP="00F75608">
      <w:pPr>
        <w:spacing w:after="220"/>
        <w:ind w:right="56"/>
      </w:pPr>
      <w:r w:rsidRPr="00F43369">
        <w:rPr>
          <w:rStyle w:val="Members"/>
          <w:rFonts w:eastAsia="Batang"/>
        </w:rPr>
        <w:t>Louise Higgins</w:t>
      </w:r>
      <w:r w:rsidRPr="00F43369">
        <w:rPr>
          <w:rFonts w:ascii="Arial Bold" w:hAnsi="Arial Bold" w:cs="Arial"/>
          <w:b/>
          <w:color w:val="1F497D" w:themeColor="text2"/>
          <w:sz w:val="20"/>
        </w:rPr>
        <w:t xml:space="preserve"> </w:t>
      </w:r>
      <w:r w:rsidRPr="00F43369">
        <w:rPr>
          <w:color w:val="1F497D" w:themeColor="text2"/>
        </w:rPr>
        <w:t xml:space="preserve">– </w:t>
      </w:r>
      <w:r w:rsidRPr="00F43369">
        <w:t>Executive General Manager of Strategy and Transformation, Retail at Australia &amp; New Zealand Banking Group Limited. Non</w:t>
      </w:r>
      <w:r w:rsidR="008941F8">
        <w:noBreakHyphen/>
      </w:r>
      <w:r w:rsidRPr="00F43369">
        <w:t>executive director of Enero Group. Member since 2023.</w:t>
      </w:r>
    </w:p>
    <w:p w14:paraId="5B5ECD31" w14:textId="78356E95" w:rsidR="00F75608" w:rsidRPr="00F43369" w:rsidRDefault="00F75608" w:rsidP="00F75608">
      <w:pPr>
        <w:spacing w:after="220"/>
        <w:ind w:right="56"/>
      </w:pPr>
      <w:r w:rsidRPr="00F43369">
        <w:rPr>
          <w:rStyle w:val="Members"/>
          <w:rFonts w:eastAsia="Batang"/>
        </w:rPr>
        <w:t>Ruth Higgins SC</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rPr>
          <w:color w:val="auto"/>
        </w:rPr>
        <w:t>B</w:t>
      </w:r>
      <w:r w:rsidRPr="00F43369">
        <w:t xml:space="preserve">arrister, President of the NSW Bar Association and director of the </w:t>
      </w:r>
      <w:r w:rsidR="00F43369" w:rsidRPr="00F43369">
        <w:t>Australian Bar Association</w:t>
      </w:r>
      <w:r w:rsidRPr="00F43369">
        <w:t>. Member since 2023.</w:t>
      </w:r>
    </w:p>
    <w:p w14:paraId="5EF2AA7D" w14:textId="299AB6CF" w:rsidR="00F75608" w:rsidRPr="00F43369" w:rsidRDefault="00F75608" w:rsidP="00F75608">
      <w:pPr>
        <w:spacing w:after="220"/>
        <w:ind w:right="56"/>
      </w:pPr>
      <w:r w:rsidRPr="00F43369">
        <w:rPr>
          <w:rStyle w:val="Members"/>
          <w:rFonts w:eastAsia="Batang"/>
        </w:rPr>
        <w:t>Michelle Jablko</w:t>
      </w:r>
      <w:r w:rsidRPr="00F43369">
        <w:rPr>
          <w:color w:val="1F497D" w:themeColor="text2"/>
        </w:rPr>
        <w:t xml:space="preserve"> – </w:t>
      </w:r>
      <w:r w:rsidRPr="00F43369">
        <w:t xml:space="preserve">Chief </w:t>
      </w:r>
      <w:r w:rsidR="00F43369" w:rsidRPr="00F43369">
        <w:t>Executive</w:t>
      </w:r>
      <w:r w:rsidRPr="00F43369">
        <w:t xml:space="preserve"> Officer of Transurban Limited. Member since 2014.</w:t>
      </w:r>
    </w:p>
    <w:p w14:paraId="1E836783" w14:textId="77777777" w:rsidR="00F75608" w:rsidRPr="00F43369" w:rsidRDefault="00F75608" w:rsidP="00F75608">
      <w:pPr>
        <w:spacing w:after="220"/>
        <w:ind w:right="56"/>
      </w:pPr>
      <w:r w:rsidRPr="00F43369">
        <w:rPr>
          <w:rStyle w:val="Members"/>
          <w:rFonts w:eastAsia="Batang"/>
        </w:rPr>
        <w:t>Christian Johnston</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t>Advisory Director at Goldman Sachs, Australia &amp; New Zealand. Member since 2014.</w:t>
      </w:r>
    </w:p>
    <w:p w14:paraId="3226C7DC" w14:textId="4B8D236E" w:rsidR="00F75608" w:rsidRPr="00B04BE9" w:rsidRDefault="00F75608" w:rsidP="00F75608">
      <w:pPr>
        <w:spacing w:after="220"/>
        <w:ind w:right="56"/>
      </w:pPr>
      <w:bookmarkStart w:id="140" w:name="_Hlk171609847"/>
      <w:r w:rsidRPr="00B04BE9">
        <w:rPr>
          <w:rStyle w:val="Members"/>
          <w:rFonts w:eastAsia="Batang"/>
        </w:rPr>
        <w:t>Kristen Jung</w:t>
      </w:r>
      <w:r w:rsidRPr="00B04BE9">
        <w:rPr>
          <w:rFonts w:ascii="Arial Bold" w:hAnsi="Arial Bold" w:cs="Arial"/>
          <w:b/>
          <w:color w:val="1F497D" w:themeColor="text2"/>
          <w:sz w:val="20"/>
        </w:rPr>
        <w:t xml:space="preserve"> </w:t>
      </w:r>
      <w:r w:rsidRPr="00B04BE9">
        <w:rPr>
          <w:color w:val="1F497D" w:themeColor="text2"/>
        </w:rPr>
        <w:t>–</w:t>
      </w:r>
      <w:r w:rsidRPr="00B04BE9">
        <w:rPr>
          <w:rFonts w:ascii="Arial Bold" w:hAnsi="Arial Bold" w:cs="Arial"/>
          <w:b/>
          <w:color w:val="1F497D" w:themeColor="text2"/>
          <w:sz w:val="20"/>
        </w:rPr>
        <w:t xml:space="preserve"> </w:t>
      </w:r>
      <w:r w:rsidRPr="00B04BE9">
        <w:t>Global Head of Legal and Executive Director at Macquarie Capital</w:t>
      </w:r>
      <w:r w:rsidR="00B04BE9" w:rsidRPr="00B04BE9">
        <w:t xml:space="preserve">. </w:t>
      </w:r>
      <w:r w:rsidRPr="00B04BE9">
        <w:t>Sydney University Master of Laws Lecturer in Takeovers and Reconstructions. Member since 2020.</w:t>
      </w:r>
    </w:p>
    <w:bookmarkEnd w:id="140"/>
    <w:p w14:paraId="14CE1067" w14:textId="77777777" w:rsidR="00F75608" w:rsidRPr="00F75608" w:rsidRDefault="00F75608" w:rsidP="00F75608">
      <w:pPr>
        <w:spacing w:after="220"/>
        <w:ind w:right="56"/>
      </w:pPr>
      <w:r w:rsidRPr="00F75608">
        <w:rPr>
          <w:rStyle w:val="Members"/>
          <w:rFonts w:eastAsia="Batang"/>
        </w:rPr>
        <w:t>Marina Kelman</w:t>
      </w:r>
      <w:r w:rsidRPr="00F75608">
        <w:rPr>
          <w:color w:val="1F497D" w:themeColor="text2"/>
        </w:rPr>
        <w:t xml:space="preserve"> – </w:t>
      </w:r>
      <w:r w:rsidRPr="00F75608">
        <w:rPr>
          <w:color w:val="auto"/>
        </w:rPr>
        <w:t xml:space="preserve">CoE Executive for Investor Relations, Treasury, M&amp;A, Subsidiaries at Telstra. </w:t>
      </w:r>
      <w:r w:rsidRPr="00F75608">
        <w:rPr>
          <w:lang w:val="en-US"/>
        </w:rPr>
        <w:t>Chair of Audit and Risk Committee at Baker Heart and Diabetes Institute and Member of the Finance Committee of the State Library of Victoria. Member since 2021.</w:t>
      </w:r>
    </w:p>
    <w:p w14:paraId="4057EBDA" w14:textId="6362E248" w:rsidR="00F75608" w:rsidRPr="00F43369" w:rsidRDefault="00F75608" w:rsidP="00F75608">
      <w:pPr>
        <w:spacing w:after="220"/>
        <w:ind w:right="56"/>
      </w:pPr>
      <w:r w:rsidRPr="00F43369">
        <w:rPr>
          <w:rStyle w:val="Members"/>
          <w:rFonts w:eastAsia="Batang"/>
        </w:rPr>
        <w:lastRenderedPageBreak/>
        <w:t>Jeremy Leibler</w:t>
      </w:r>
      <w:r w:rsidRPr="00F43369">
        <w:rPr>
          <w:color w:val="1F497D" w:themeColor="text2"/>
        </w:rPr>
        <w:t xml:space="preserve"> – </w:t>
      </w:r>
      <w:r w:rsidRPr="00F43369">
        <w:t>Partner at Arnold Bloch Leibler, non</w:t>
      </w:r>
      <w:r w:rsidR="008941F8">
        <w:noBreakHyphen/>
      </w:r>
      <w:r w:rsidRPr="00F43369">
        <w:t xml:space="preserve">executive director of </w:t>
      </w:r>
      <w:r w:rsidRPr="00F43369">
        <w:rPr>
          <w:szCs w:val="22"/>
          <w:lang w:val="en"/>
        </w:rPr>
        <w:t>Thorney Technologies Limited</w:t>
      </w:r>
      <w:r w:rsidRPr="00F43369">
        <w:t>. Member since 2015.</w:t>
      </w:r>
    </w:p>
    <w:p w14:paraId="07FFD906" w14:textId="77777777" w:rsidR="00F75608" w:rsidRPr="007865A5" w:rsidRDefault="00F75608" w:rsidP="00F75608">
      <w:pPr>
        <w:tabs>
          <w:tab w:val="left" w:pos="2835"/>
        </w:tabs>
        <w:spacing w:before="60"/>
      </w:pPr>
      <w:bookmarkStart w:id="141" w:name="_Hlk171609930"/>
      <w:r w:rsidRPr="007865A5">
        <w:rPr>
          <w:rStyle w:val="Members"/>
          <w:rFonts w:eastAsia="Batang"/>
        </w:rPr>
        <w:t>Michael Lishman</w:t>
      </w:r>
      <w:r w:rsidRPr="007865A5">
        <w:rPr>
          <w:color w:val="1F497D" w:themeColor="text2"/>
        </w:rPr>
        <w:t xml:space="preserve"> – </w:t>
      </w:r>
      <w:r w:rsidRPr="007865A5">
        <w:t>PhD student at Monash University Law. Member since 2020.</w:t>
      </w:r>
    </w:p>
    <w:bookmarkEnd w:id="141"/>
    <w:p w14:paraId="7D3571F3" w14:textId="4F628942" w:rsidR="00F75608" w:rsidRPr="00F43369" w:rsidRDefault="00F75608" w:rsidP="00F75608">
      <w:pPr>
        <w:spacing w:after="220"/>
        <w:ind w:right="56"/>
      </w:pPr>
      <w:r w:rsidRPr="00F43369">
        <w:rPr>
          <w:rStyle w:val="Members"/>
          <w:rFonts w:eastAsia="Batang"/>
        </w:rPr>
        <w:t>Timothy Longstaff</w:t>
      </w:r>
      <w:r w:rsidRPr="00F43369">
        <w:rPr>
          <w:color w:val="1F497D" w:themeColor="text2"/>
        </w:rPr>
        <w:t xml:space="preserve"> – </w:t>
      </w:r>
      <w:r w:rsidRPr="00F43369">
        <w:t>Non</w:t>
      </w:r>
      <w:r w:rsidR="008941F8">
        <w:noBreakHyphen/>
      </w:r>
      <w:r w:rsidRPr="00F43369">
        <w:t>executive director of Aurizon Holdings Limited, Aurion Network Pty Ltd, Snowy Hydro Limited, Ingham</w:t>
      </w:r>
      <w:r w:rsidR="008941F8">
        <w:t>’</w:t>
      </w:r>
      <w:r w:rsidRPr="00F43369">
        <w:t>s Group Limited, Perenti Limited and The George Institute for Global Health. Member since 2022.</w:t>
      </w:r>
    </w:p>
    <w:p w14:paraId="06616F04" w14:textId="77777777" w:rsidR="00F75608" w:rsidRPr="00F75608" w:rsidRDefault="00F75608" w:rsidP="00F75608">
      <w:pPr>
        <w:spacing w:after="220"/>
        <w:ind w:right="56"/>
      </w:pPr>
      <w:r w:rsidRPr="00F75608">
        <w:rPr>
          <w:rStyle w:val="Members"/>
          <w:rFonts w:eastAsia="Batang"/>
        </w:rPr>
        <w:t>Sandy Mak</w:t>
      </w:r>
      <w:r w:rsidRPr="00F75608">
        <w:rPr>
          <w:color w:val="1F497D" w:themeColor="text2"/>
        </w:rPr>
        <w:t xml:space="preserve"> – </w:t>
      </w:r>
      <w:r w:rsidRPr="00F75608">
        <w:t>Partner, Head of Corporate/M&amp;A at Corrs Chambers Westgarth. Member since 2021.</w:t>
      </w:r>
    </w:p>
    <w:p w14:paraId="62ECAA1E" w14:textId="06DF36A3" w:rsidR="00F75608" w:rsidRPr="00F43369" w:rsidRDefault="00F75608" w:rsidP="00F75608">
      <w:pPr>
        <w:spacing w:after="220"/>
        <w:ind w:right="56"/>
        <w:rPr>
          <w:lang w:val="en-GB"/>
        </w:rPr>
      </w:pPr>
      <w:r w:rsidRPr="00F43369">
        <w:rPr>
          <w:rStyle w:val="Members"/>
          <w:rFonts w:eastAsia="Batang"/>
        </w:rPr>
        <w:t>Rebecca Maslen</w:t>
      </w:r>
      <w:r w:rsidR="008941F8">
        <w:rPr>
          <w:rStyle w:val="Members"/>
          <w:rFonts w:eastAsia="Batang"/>
        </w:rPr>
        <w:noBreakHyphen/>
      </w:r>
      <w:r w:rsidRPr="00F43369">
        <w:rPr>
          <w:rStyle w:val="Members"/>
          <w:rFonts w:eastAsia="Batang"/>
        </w:rPr>
        <w:t>Stannage</w:t>
      </w:r>
      <w:r w:rsidRPr="00F43369">
        <w:rPr>
          <w:color w:val="1F497D" w:themeColor="text2"/>
        </w:rPr>
        <w:t xml:space="preserve"> – </w:t>
      </w:r>
      <w:r w:rsidRPr="00F43369">
        <w:t>Global Chair and Senior Partner at Herbert Smith Freehills</w:t>
      </w:r>
      <w:r w:rsidRPr="00F43369">
        <w:rPr>
          <w:lang w:val="en-GB"/>
        </w:rPr>
        <w:t xml:space="preserve">. </w:t>
      </w:r>
      <w:r w:rsidRPr="00F43369">
        <w:t>Member since 2017.</w:t>
      </w:r>
    </w:p>
    <w:p w14:paraId="2C472D8C" w14:textId="73136E86" w:rsidR="00F75608" w:rsidRPr="00F43369" w:rsidRDefault="00F75608" w:rsidP="00F75608">
      <w:pPr>
        <w:spacing w:after="220"/>
        <w:ind w:right="56"/>
        <w:rPr>
          <w:lang w:val="en-GB"/>
        </w:rPr>
      </w:pPr>
      <w:r w:rsidRPr="00F43369">
        <w:rPr>
          <w:rStyle w:val="Members"/>
          <w:rFonts w:eastAsia="Batang"/>
        </w:rPr>
        <w:t>Denise McComish</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rPr>
          <w:lang w:val="en-GB"/>
        </w:rPr>
        <w:t>Non</w:t>
      </w:r>
      <w:r w:rsidR="008941F8">
        <w:rPr>
          <w:lang w:val="en-GB"/>
        </w:rPr>
        <w:noBreakHyphen/>
      </w:r>
      <w:r w:rsidRPr="00F43369">
        <w:rPr>
          <w:lang w:val="en-GB"/>
        </w:rPr>
        <w:t>executive director of Mineral Resources Limited, Webjet Limited, Macmahon Holdings Limited, Gold Road Resources Limited, Synergy, Beyond Blue and Chair of Advisory Board at School of Business and Law at Edith Cowan University. Member since 2013.</w:t>
      </w:r>
    </w:p>
    <w:p w14:paraId="41AB15DF" w14:textId="01C8D1A5" w:rsidR="00F75608" w:rsidRPr="00627DAA" w:rsidRDefault="00F75608" w:rsidP="00F75608">
      <w:pPr>
        <w:spacing w:after="220"/>
        <w:ind w:right="56"/>
        <w:rPr>
          <w:b/>
        </w:rPr>
      </w:pPr>
      <w:bookmarkStart w:id="142" w:name="_Hlk171609968"/>
      <w:r w:rsidRPr="00627DAA">
        <w:rPr>
          <w:rStyle w:val="Members"/>
          <w:rFonts w:eastAsia="Batang"/>
        </w:rPr>
        <w:t>John McGlue</w:t>
      </w:r>
      <w:r w:rsidRPr="00627DAA">
        <w:rPr>
          <w:rFonts w:ascii="Arial Bold" w:hAnsi="Arial Bold" w:cs="Arial"/>
          <w:b/>
          <w:color w:val="1F497D" w:themeColor="text2"/>
          <w:sz w:val="20"/>
        </w:rPr>
        <w:t xml:space="preserve"> </w:t>
      </w:r>
      <w:r w:rsidRPr="00627DAA">
        <w:rPr>
          <w:color w:val="1F497D" w:themeColor="text2"/>
        </w:rPr>
        <w:t>–</w:t>
      </w:r>
      <w:r w:rsidRPr="00627DAA">
        <w:rPr>
          <w:rFonts w:ascii="Arial Bold" w:hAnsi="Arial Bold" w:cs="Arial"/>
          <w:b/>
          <w:color w:val="1F497D" w:themeColor="text2"/>
          <w:sz w:val="20"/>
        </w:rPr>
        <w:t xml:space="preserve"> </w:t>
      </w:r>
      <w:r w:rsidR="00627DAA" w:rsidRPr="00627DAA">
        <w:t>Partner at</w:t>
      </w:r>
      <w:r w:rsidRPr="00627DAA">
        <w:t xml:space="preserve"> Castle Gates </w:t>
      </w:r>
      <w:r w:rsidR="00627DAA" w:rsidRPr="00627DAA">
        <w:t>Advisory</w:t>
      </w:r>
      <w:r w:rsidRPr="00627DAA">
        <w:t>. Member since 2019.</w:t>
      </w:r>
    </w:p>
    <w:p w14:paraId="5B72E6D3" w14:textId="2221232E" w:rsidR="00F75608" w:rsidRPr="007865A5" w:rsidRDefault="00F75608" w:rsidP="00F75608">
      <w:pPr>
        <w:spacing w:after="220"/>
        <w:ind w:right="56"/>
      </w:pPr>
      <w:bookmarkStart w:id="143" w:name="_Hlk171609992"/>
      <w:bookmarkEnd w:id="142"/>
      <w:r w:rsidRPr="007865A5">
        <w:rPr>
          <w:rStyle w:val="Members"/>
          <w:rFonts w:eastAsia="Batang"/>
        </w:rPr>
        <w:t>Bruce McLennan</w:t>
      </w:r>
      <w:r w:rsidRPr="007865A5">
        <w:rPr>
          <w:color w:val="1F497D" w:themeColor="text2"/>
        </w:rPr>
        <w:t xml:space="preserve"> – </w:t>
      </w:r>
      <w:r w:rsidRPr="007865A5">
        <w:rPr>
          <w:szCs w:val="24"/>
          <w:lang w:eastAsia="en-AU"/>
        </w:rPr>
        <w:t>Managing Director and Co</w:t>
      </w:r>
      <w:r w:rsidR="008941F8">
        <w:rPr>
          <w:szCs w:val="24"/>
          <w:lang w:eastAsia="en-AU"/>
        </w:rPr>
        <w:noBreakHyphen/>
      </w:r>
      <w:r w:rsidRPr="007865A5">
        <w:rPr>
          <w:szCs w:val="24"/>
          <w:lang w:eastAsia="en-AU"/>
        </w:rPr>
        <w:t>Head of Advisory at Gresham Advisory Partners</w:t>
      </w:r>
      <w:r w:rsidRPr="007865A5">
        <w:t>. Member since 2016.</w:t>
      </w:r>
    </w:p>
    <w:bookmarkEnd w:id="143"/>
    <w:p w14:paraId="620E0C2F" w14:textId="77777777" w:rsidR="00F75608" w:rsidRPr="00F75608" w:rsidRDefault="00F75608" w:rsidP="00F75608">
      <w:pPr>
        <w:tabs>
          <w:tab w:val="left" w:pos="2835"/>
        </w:tabs>
        <w:spacing w:before="60"/>
      </w:pPr>
      <w:r w:rsidRPr="00F75608">
        <w:rPr>
          <w:rStyle w:val="Members"/>
          <w:rFonts w:eastAsia="Batang"/>
        </w:rPr>
        <w:t>Rory Moriarty</w:t>
      </w:r>
      <w:r w:rsidRPr="00F75608">
        <w:rPr>
          <w:rFonts w:ascii="Arial Bold" w:hAnsi="Arial Bold" w:cs="Arial"/>
          <w:b/>
          <w:color w:val="1F497D" w:themeColor="text2"/>
          <w:sz w:val="20"/>
        </w:rPr>
        <w:t xml:space="preserve"> </w:t>
      </w:r>
      <w:r w:rsidRPr="00F75608">
        <w:rPr>
          <w:color w:val="1F497D" w:themeColor="text2"/>
        </w:rPr>
        <w:t>–</w:t>
      </w:r>
      <w:r w:rsidRPr="00F75608">
        <w:rPr>
          <w:rFonts w:ascii="Arial Bold" w:hAnsi="Arial Bold" w:cs="Arial"/>
          <w:b/>
          <w:color w:val="1F497D" w:themeColor="text2"/>
          <w:sz w:val="20"/>
        </w:rPr>
        <w:t xml:space="preserve"> </w:t>
      </w:r>
      <w:r w:rsidRPr="00F75608">
        <w:t>Partner at Clayton Utz. Member since 2018.</w:t>
      </w:r>
    </w:p>
    <w:p w14:paraId="4FF6579E" w14:textId="132C6CC8" w:rsidR="00F75608" w:rsidRPr="00F75608" w:rsidRDefault="00F75608" w:rsidP="00F75608">
      <w:pPr>
        <w:spacing w:after="220"/>
        <w:ind w:right="56"/>
        <w:rPr>
          <w:lang w:val="en-GB"/>
        </w:rPr>
      </w:pPr>
      <w:r w:rsidRPr="00F75608">
        <w:rPr>
          <w:rStyle w:val="Members"/>
          <w:rFonts w:eastAsia="Batang"/>
        </w:rPr>
        <w:t xml:space="preserve">Kerry Morrow </w:t>
      </w:r>
      <w:r w:rsidRPr="00F75608">
        <w:rPr>
          <w:color w:val="1F497D" w:themeColor="text2"/>
        </w:rPr>
        <w:t xml:space="preserve">– </w:t>
      </w:r>
      <w:r w:rsidRPr="00F75608">
        <w:t>Director at Laity Morrow. Member since 2019</w:t>
      </w:r>
      <w:r w:rsidRPr="00F75608">
        <w:rPr>
          <w:lang w:val="en-GB"/>
        </w:rPr>
        <w:t>.</w:t>
      </w:r>
    </w:p>
    <w:p w14:paraId="14C5610B" w14:textId="03021065" w:rsidR="00B04BE9" w:rsidRPr="00627DAA" w:rsidRDefault="00B04BE9" w:rsidP="00B04BE9">
      <w:pPr>
        <w:spacing w:after="220"/>
        <w:ind w:right="56"/>
        <w:rPr>
          <w:color w:val="auto"/>
          <w:kern w:val="0"/>
        </w:rPr>
      </w:pPr>
      <w:r w:rsidRPr="00627DAA">
        <w:rPr>
          <w:rStyle w:val="Members"/>
          <w:rFonts w:eastAsia="Batang"/>
        </w:rPr>
        <w:t>Emma</w:t>
      </w:r>
      <w:r w:rsidR="008941F8">
        <w:rPr>
          <w:rStyle w:val="Members"/>
          <w:rFonts w:eastAsia="Batang"/>
        </w:rPr>
        <w:noBreakHyphen/>
      </w:r>
      <w:r w:rsidRPr="00627DAA">
        <w:rPr>
          <w:rStyle w:val="Members"/>
          <w:rFonts w:eastAsia="Batang"/>
        </w:rPr>
        <w:t>Jane Newton</w:t>
      </w:r>
      <w:r w:rsidRPr="00627DAA">
        <w:rPr>
          <w:rFonts w:ascii="Arial Bold" w:hAnsi="Arial Bold" w:cs="Arial"/>
          <w:b/>
          <w:color w:val="1F497D" w:themeColor="text2"/>
          <w:sz w:val="20"/>
        </w:rPr>
        <w:t xml:space="preserve"> </w:t>
      </w:r>
      <w:r w:rsidRPr="00627DAA">
        <w:rPr>
          <w:color w:val="1F497D" w:themeColor="text2"/>
        </w:rPr>
        <w:t xml:space="preserve">– </w:t>
      </w:r>
      <w:r w:rsidRPr="00627DAA">
        <w:t xml:space="preserve">Head of Investment Banking </w:t>
      </w:r>
      <w:r w:rsidR="00627DAA" w:rsidRPr="00627DAA">
        <w:t>Coverage</w:t>
      </w:r>
      <w:r w:rsidRPr="00627DAA">
        <w:t xml:space="preserve"> &amp; Advisory, Australia and New Zealand at Deutsche Bank and Chair of Sydney Dance Company. Member since 2023.</w:t>
      </w:r>
    </w:p>
    <w:p w14:paraId="72079B78" w14:textId="77777777" w:rsidR="00F75608" w:rsidRPr="00F43369" w:rsidRDefault="00F75608" w:rsidP="00F75608">
      <w:pPr>
        <w:spacing w:after="220"/>
        <w:ind w:right="56"/>
        <w:rPr>
          <w:lang w:val="en-GB"/>
        </w:rPr>
      </w:pPr>
      <w:r w:rsidRPr="00F43369">
        <w:rPr>
          <w:rStyle w:val="Members"/>
          <w:rFonts w:eastAsia="Batang"/>
        </w:rPr>
        <w:t xml:space="preserve">Diana Nicholson </w:t>
      </w:r>
      <w:r w:rsidRPr="00F43369">
        <w:rPr>
          <w:color w:val="1F497D" w:themeColor="text2"/>
        </w:rPr>
        <w:t xml:space="preserve">– </w:t>
      </w:r>
      <w:r w:rsidRPr="00F43369">
        <w:t>Partner, Financial Services Sector Leader at King &amp; Wood Mallesons, Trustee Melbourne &amp; Olympic Parks Trust, Director Care Australia Limited. Member since 2017</w:t>
      </w:r>
      <w:r w:rsidRPr="00F43369">
        <w:rPr>
          <w:lang w:val="en-GB"/>
        </w:rPr>
        <w:t>.</w:t>
      </w:r>
    </w:p>
    <w:p w14:paraId="28E43D9C" w14:textId="680C552C" w:rsidR="00F75608" w:rsidRPr="00F43369" w:rsidRDefault="00F75608" w:rsidP="00F75608">
      <w:pPr>
        <w:spacing w:after="220"/>
        <w:ind w:right="56"/>
        <w:rPr>
          <w:lang w:val="en-GB"/>
        </w:rPr>
      </w:pPr>
      <w:r w:rsidRPr="00F43369">
        <w:rPr>
          <w:rStyle w:val="Members"/>
          <w:rFonts w:eastAsia="Batang"/>
        </w:rPr>
        <w:t>Deborah Page AM</w:t>
      </w:r>
      <w:r w:rsidRPr="00F43369">
        <w:rPr>
          <w:rFonts w:ascii="Arial Bold" w:hAnsi="Arial Bold" w:cs="Arial"/>
          <w:b/>
          <w:color w:val="1F497D" w:themeColor="text2"/>
          <w:sz w:val="20"/>
        </w:rPr>
        <w:t xml:space="preserve"> </w:t>
      </w:r>
      <w:r w:rsidRPr="00F43369">
        <w:rPr>
          <w:color w:val="1F497D" w:themeColor="text2"/>
        </w:rPr>
        <w:t>–</w:t>
      </w:r>
      <w:r w:rsidRPr="00F43369">
        <w:rPr>
          <w:lang w:val="en-GB"/>
        </w:rPr>
        <w:t xml:space="preserve"> Non</w:t>
      </w:r>
      <w:r w:rsidR="008941F8">
        <w:rPr>
          <w:lang w:val="en-GB"/>
        </w:rPr>
        <w:noBreakHyphen/>
      </w:r>
      <w:r w:rsidRPr="00F43369">
        <w:rPr>
          <w:lang w:val="en-GB"/>
        </w:rPr>
        <w:t>executive director of Brickworks Limited, Growthpoint Properties Australia, The Star Entertainment Group Limited and Magellan Financial Group Limited. Member since 2022.</w:t>
      </w:r>
    </w:p>
    <w:p w14:paraId="6911A5DD" w14:textId="44E97489" w:rsidR="00BB20A9" w:rsidRPr="00F43369" w:rsidRDefault="00BB20A9" w:rsidP="00F75608">
      <w:pPr>
        <w:spacing w:after="220"/>
        <w:ind w:right="56"/>
        <w:rPr>
          <w:lang w:val="en-GB"/>
        </w:rPr>
      </w:pPr>
      <w:bookmarkStart w:id="144" w:name="_Hlk170389929"/>
      <w:r w:rsidRPr="00F43369">
        <w:rPr>
          <w:rStyle w:val="Members"/>
          <w:rFonts w:eastAsia="Batang"/>
        </w:rPr>
        <w:t xml:space="preserve">Reeny Paraskeva – </w:t>
      </w:r>
      <w:r w:rsidRPr="00F43369">
        <w:rPr>
          <w:lang w:val="en-GB"/>
        </w:rPr>
        <w:t xml:space="preserve">Managing Director </w:t>
      </w:r>
      <w:r w:rsidR="00F43369" w:rsidRPr="00F43369">
        <w:rPr>
          <w:lang w:val="en-GB"/>
        </w:rPr>
        <w:t xml:space="preserve">and Head of General Industrials </w:t>
      </w:r>
      <w:r w:rsidRPr="00F43369">
        <w:rPr>
          <w:lang w:val="en-GB"/>
        </w:rPr>
        <w:t>at Jarden. Member since 2024.</w:t>
      </w:r>
    </w:p>
    <w:bookmarkEnd w:id="144"/>
    <w:p w14:paraId="7619F628" w14:textId="77777777" w:rsidR="00F75608" w:rsidRDefault="00F75608" w:rsidP="00F75608">
      <w:pPr>
        <w:spacing w:after="220"/>
        <w:ind w:right="56"/>
      </w:pPr>
      <w:r w:rsidRPr="00F75608">
        <w:rPr>
          <w:rStyle w:val="Members"/>
          <w:rFonts w:eastAsia="Batang"/>
        </w:rPr>
        <w:lastRenderedPageBreak/>
        <w:t>Neil Pathak</w:t>
      </w:r>
      <w:r w:rsidRPr="00F75608">
        <w:rPr>
          <w:rFonts w:ascii="Arial Bold" w:hAnsi="Arial Bold" w:cs="Arial"/>
          <w:b/>
          <w:color w:val="1F497D" w:themeColor="text2"/>
          <w:sz w:val="20"/>
        </w:rPr>
        <w:t xml:space="preserve"> </w:t>
      </w:r>
      <w:r w:rsidRPr="00F75608">
        <w:t>– Partner and Head of M&amp;A (Australia) at Ashurst, Senior Fellow of the University of Melbourne Law School. Member since 2017.</w:t>
      </w:r>
    </w:p>
    <w:p w14:paraId="5341DE19" w14:textId="4DC44DBC" w:rsidR="003E7DA4" w:rsidRPr="003E7DA4" w:rsidRDefault="003E7DA4" w:rsidP="00F75608">
      <w:pPr>
        <w:spacing w:after="220"/>
        <w:ind w:right="56"/>
        <w:rPr>
          <w:b/>
          <w:bCs/>
          <w:color w:val="0E406A" w:themeColor="accent1"/>
          <w:sz w:val="19"/>
          <w:szCs w:val="19"/>
          <w:lang w:val="en-GB"/>
        </w:rPr>
      </w:pPr>
      <w:r w:rsidRPr="00F43369">
        <w:rPr>
          <w:rFonts w:ascii="Arial" w:hAnsi="Arial" w:cs="Arial"/>
          <w:b/>
          <w:bCs/>
          <w:color w:val="0E406A" w:themeColor="accent1"/>
          <w:sz w:val="19"/>
          <w:szCs w:val="19"/>
          <w:shd w:val="clear" w:color="auto" w:fill="FFFFFF"/>
        </w:rPr>
        <w:t xml:space="preserve">Richard Phillips </w:t>
      </w:r>
      <w:r w:rsidRPr="00F43369">
        <w:rPr>
          <w:rFonts w:cs="Arial"/>
          <w:b/>
          <w:bCs/>
          <w:color w:val="0E406A" w:themeColor="accent1"/>
          <w:szCs w:val="22"/>
          <w:shd w:val="clear" w:color="auto" w:fill="FFFFFF"/>
        </w:rPr>
        <w:t xml:space="preserve">– </w:t>
      </w:r>
      <w:r w:rsidRPr="00F43369">
        <w:rPr>
          <w:rFonts w:cs="Arial"/>
          <w:szCs w:val="22"/>
          <w:shd w:val="clear" w:color="auto" w:fill="FFFFFF"/>
        </w:rPr>
        <w:t>Managing Director and Chairman of Greenhill Australia. Member since 2024.</w:t>
      </w:r>
    </w:p>
    <w:p w14:paraId="5D0557C9" w14:textId="101AEB30" w:rsidR="00F75608" w:rsidRPr="00F43369" w:rsidRDefault="00F75608" w:rsidP="00F75608">
      <w:pPr>
        <w:spacing w:after="220"/>
        <w:ind w:right="56"/>
      </w:pPr>
      <w:r w:rsidRPr="00F43369">
        <w:rPr>
          <w:rStyle w:val="Members"/>
          <w:rFonts w:eastAsia="Batang"/>
        </w:rPr>
        <w:t>Karen Phin</w:t>
      </w:r>
      <w:r w:rsidRPr="00F43369">
        <w:rPr>
          <w:color w:val="1F497D" w:themeColor="text2"/>
        </w:rPr>
        <w:t xml:space="preserve"> </w:t>
      </w:r>
      <w:r w:rsidRPr="00F43369">
        <w:t>– Non</w:t>
      </w:r>
      <w:r w:rsidR="008941F8">
        <w:noBreakHyphen/>
      </w:r>
      <w:r w:rsidRPr="00F43369">
        <w:t>executive director of Omni Bridgeway Limited and ARB Corporation Ltd. Member since 2015.</w:t>
      </w:r>
    </w:p>
    <w:p w14:paraId="3105B295" w14:textId="2A0C5776" w:rsidR="00F75608" w:rsidRPr="00B87777" w:rsidRDefault="00F75608" w:rsidP="00F75608">
      <w:pPr>
        <w:spacing w:after="220"/>
        <w:ind w:right="56"/>
        <w:rPr>
          <w:b/>
        </w:rPr>
      </w:pPr>
      <w:bookmarkStart w:id="145" w:name="_Hlk171610298"/>
      <w:r w:rsidRPr="00B87777">
        <w:rPr>
          <w:rStyle w:val="Members"/>
          <w:rFonts w:eastAsia="Batang"/>
        </w:rPr>
        <w:t>Sarah Rennie</w:t>
      </w:r>
      <w:r w:rsidRPr="00B87777">
        <w:rPr>
          <w:color w:val="1F497D" w:themeColor="text2"/>
        </w:rPr>
        <w:t xml:space="preserve"> </w:t>
      </w:r>
      <w:r w:rsidRPr="00B87777">
        <w:t xml:space="preserve">– </w:t>
      </w:r>
      <w:r w:rsidR="00B87777" w:rsidRPr="00B87777">
        <w:t>Co CEO of Investment Banking Australia/New Zealand and Head of Equity Capital Markets</w:t>
      </w:r>
      <w:r w:rsidR="00B87777">
        <w:t xml:space="preserve"> at Jarden</w:t>
      </w:r>
      <w:r w:rsidR="00B87777" w:rsidRPr="00B87777">
        <w:t>. Member since 2015.</w:t>
      </w:r>
    </w:p>
    <w:bookmarkEnd w:id="145"/>
    <w:p w14:paraId="42A0BB92" w14:textId="3F6773BB" w:rsidR="00F75608" w:rsidRPr="00F43369" w:rsidRDefault="00F75608" w:rsidP="00F75608">
      <w:pPr>
        <w:spacing w:after="220"/>
        <w:ind w:right="56"/>
      </w:pPr>
      <w:r w:rsidRPr="00F43369">
        <w:rPr>
          <w:rStyle w:val="Members"/>
          <w:rFonts w:eastAsia="Batang"/>
        </w:rPr>
        <w:t>John Sheahan KC</w:t>
      </w:r>
      <w:r w:rsidRPr="00F43369">
        <w:rPr>
          <w:rFonts w:ascii="Arial Bold" w:hAnsi="Arial Bold" w:cs="Arial"/>
          <w:b/>
          <w:color w:val="1F497D" w:themeColor="text2"/>
          <w:sz w:val="20"/>
        </w:rPr>
        <w:t xml:space="preserve"> </w:t>
      </w:r>
      <w:r w:rsidRPr="00F43369">
        <w:t>– Barrister. Member 2014–2020 and re</w:t>
      </w:r>
      <w:r w:rsidR="008941F8">
        <w:noBreakHyphen/>
      </w:r>
      <w:r w:rsidRPr="00F43369">
        <w:t>appointed 2021.</w:t>
      </w:r>
    </w:p>
    <w:p w14:paraId="2B48A7C8" w14:textId="4AFC9131" w:rsidR="00F75608" w:rsidRPr="00F43369" w:rsidRDefault="00F75608" w:rsidP="00F75608">
      <w:pPr>
        <w:spacing w:after="220"/>
        <w:ind w:right="56"/>
        <w:rPr>
          <w:b/>
          <w:bCs/>
          <w:color w:val="0E406A" w:themeColor="accent1"/>
          <w:sz w:val="19"/>
          <w:szCs w:val="19"/>
        </w:rPr>
      </w:pPr>
      <w:r w:rsidRPr="00F43369">
        <w:rPr>
          <w:rFonts w:ascii="Arial" w:hAnsi="Arial" w:cs="Arial"/>
          <w:b/>
          <w:bCs/>
          <w:color w:val="0E406A" w:themeColor="accent1"/>
          <w:sz w:val="19"/>
          <w:szCs w:val="19"/>
          <w:shd w:val="clear" w:color="auto" w:fill="FFFFFF"/>
        </w:rPr>
        <w:t xml:space="preserve">Christopher Stavrianou </w:t>
      </w:r>
      <w:r w:rsidRPr="00F43369">
        <w:rPr>
          <w:color w:val="auto"/>
        </w:rPr>
        <w:t>– Managing Partner of Poynton Stavrianou. Member since</w:t>
      </w:r>
      <w:r w:rsidR="00BF3F03">
        <w:rPr>
          <w:color w:val="auto"/>
        </w:rPr>
        <w:t> </w:t>
      </w:r>
      <w:r w:rsidRPr="00F43369">
        <w:rPr>
          <w:color w:val="auto"/>
        </w:rPr>
        <w:t>2024.</w:t>
      </w:r>
    </w:p>
    <w:p w14:paraId="1D597209" w14:textId="77777777" w:rsidR="00F75608" w:rsidRPr="00F43369" w:rsidRDefault="00F75608" w:rsidP="00F75608">
      <w:pPr>
        <w:spacing w:after="220"/>
        <w:ind w:right="56"/>
        <w:rPr>
          <w:lang w:val="en-GB"/>
        </w:rPr>
      </w:pPr>
      <w:r w:rsidRPr="00F43369">
        <w:rPr>
          <w:rStyle w:val="Members"/>
          <w:rFonts w:eastAsia="Batang"/>
        </w:rPr>
        <w:t>James Stewart</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t>Partner at DLA Piper and Caledon Estate owner. Member since 2020.</w:t>
      </w:r>
    </w:p>
    <w:p w14:paraId="0B787699" w14:textId="77777777" w:rsidR="00F75608" w:rsidRPr="00F43369" w:rsidRDefault="00F75608" w:rsidP="00F75608">
      <w:pPr>
        <w:spacing w:after="220"/>
        <w:ind w:right="56"/>
        <w:rPr>
          <w:lang w:val="en-GB"/>
        </w:rPr>
      </w:pPr>
      <w:r w:rsidRPr="00F43369">
        <w:rPr>
          <w:rStyle w:val="Members"/>
        </w:rPr>
        <w:t>Philippa Stone</w:t>
      </w:r>
      <w:r w:rsidRPr="00F43369">
        <w:rPr>
          <w:rFonts w:ascii="Arial Bold" w:hAnsi="Arial Bold" w:cs="Arial"/>
          <w:b/>
          <w:color w:val="1F497D" w:themeColor="text2"/>
          <w:sz w:val="20"/>
        </w:rPr>
        <w:t xml:space="preserve"> </w:t>
      </w:r>
      <w:r w:rsidRPr="00F43369">
        <w:rPr>
          <w:color w:val="1F497D" w:themeColor="text2"/>
        </w:rPr>
        <w:t>–</w:t>
      </w:r>
      <w:r w:rsidRPr="00F43369">
        <w:rPr>
          <w:rFonts w:ascii="Arial Bold" w:hAnsi="Arial Bold" w:cs="Arial"/>
          <w:b/>
          <w:color w:val="1F497D" w:themeColor="text2"/>
          <w:sz w:val="20"/>
        </w:rPr>
        <w:t xml:space="preserve"> </w:t>
      </w:r>
      <w:r w:rsidRPr="00F43369">
        <w:t>Joint Global Head, Capital Markets and Partner at Herbert Smith Freehills, Deputy Chair of the Centre for Independent Studies, Advisory Council Member of Asia Society. Member since 2019.</w:t>
      </w:r>
    </w:p>
    <w:p w14:paraId="276A8F52" w14:textId="77777777" w:rsidR="00F75608" w:rsidRPr="00F43369" w:rsidRDefault="00F75608" w:rsidP="00781811">
      <w:r w:rsidRPr="00F43369">
        <w:rPr>
          <w:rStyle w:val="Members"/>
          <w:rFonts w:eastAsia="Batang"/>
        </w:rPr>
        <w:t>Erin Tinker</w:t>
      </w:r>
      <w:r w:rsidRPr="00F43369">
        <w:t xml:space="preserve"> – Founding Partner at Barrenjoey. Member since 2023.</w:t>
      </w:r>
    </w:p>
    <w:p w14:paraId="3E08F80F" w14:textId="77777777" w:rsidR="00F75608" w:rsidRPr="00627DAA" w:rsidRDefault="00F75608" w:rsidP="00F75608">
      <w:pPr>
        <w:spacing w:after="220"/>
        <w:ind w:right="56"/>
        <w:rPr>
          <w:color w:val="auto"/>
        </w:rPr>
      </w:pPr>
      <w:bookmarkStart w:id="146" w:name="_Hlk171610328"/>
      <w:r w:rsidRPr="00627DAA">
        <w:rPr>
          <w:rStyle w:val="Members"/>
          <w:rFonts w:eastAsia="Batang"/>
        </w:rPr>
        <w:t>Kate Towey</w:t>
      </w:r>
      <w:r w:rsidRPr="00627DAA">
        <w:rPr>
          <w:rFonts w:ascii="Arial Bold" w:hAnsi="Arial Bold" w:cs="Arial"/>
          <w:b/>
          <w:color w:val="1F497D" w:themeColor="text2"/>
          <w:sz w:val="20"/>
        </w:rPr>
        <w:t xml:space="preserve"> </w:t>
      </w:r>
      <w:r w:rsidRPr="00627DAA">
        <w:rPr>
          <w:color w:val="1F497D" w:themeColor="text2"/>
        </w:rPr>
        <w:t xml:space="preserve">– </w:t>
      </w:r>
      <w:r w:rsidRPr="00627DAA">
        <w:rPr>
          <w:color w:val="auto"/>
        </w:rPr>
        <w:t>Partner at Allens. Member since 2023.</w:t>
      </w:r>
    </w:p>
    <w:bookmarkEnd w:id="146"/>
    <w:p w14:paraId="792124EC" w14:textId="40F50CDF" w:rsidR="00F75608" w:rsidRPr="00F75608" w:rsidRDefault="00F75608" w:rsidP="00F75608">
      <w:pPr>
        <w:spacing w:after="220"/>
        <w:ind w:right="56"/>
        <w:rPr>
          <w:b/>
          <w:bCs/>
          <w:color w:val="0E406A" w:themeColor="accent1"/>
          <w:sz w:val="19"/>
          <w:szCs w:val="19"/>
        </w:rPr>
      </w:pPr>
      <w:r w:rsidRPr="00F75608">
        <w:rPr>
          <w:rFonts w:ascii="Arial" w:hAnsi="Arial" w:cs="Arial"/>
          <w:b/>
          <w:bCs/>
          <w:color w:val="0E406A" w:themeColor="accent1"/>
          <w:sz w:val="19"/>
          <w:szCs w:val="19"/>
          <w:shd w:val="clear" w:color="auto" w:fill="FFFFFF"/>
        </w:rPr>
        <w:t>Georgina Varley</w:t>
      </w:r>
      <w:r w:rsidRPr="00F75608">
        <w:rPr>
          <w:color w:val="auto"/>
        </w:rPr>
        <w:t xml:space="preserve"> – Managing Director at Adamantem Capital. Member since 2024</w:t>
      </w:r>
      <w:r>
        <w:rPr>
          <w:color w:val="auto"/>
        </w:rPr>
        <w:t>.</w:t>
      </w:r>
    </w:p>
    <w:p w14:paraId="6EDC6722" w14:textId="201E79A6" w:rsidR="002D0C50" w:rsidRPr="00F75608" w:rsidRDefault="00F75608" w:rsidP="00ED182E">
      <w:pPr>
        <w:spacing w:after="220"/>
        <w:ind w:right="56"/>
        <w:rPr>
          <w:b/>
        </w:rPr>
      </w:pPr>
      <w:r w:rsidRPr="00F75608">
        <w:rPr>
          <w:rStyle w:val="Members"/>
          <w:rFonts w:eastAsia="Batang"/>
        </w:rPr>
        <w:t xml:space="preserve">Nicola Wakefield Evans AM </w:t>
      </w:r>
      <w:r w:rsidRPr="00F75608">
        <w:rPr>
          <w:color w:val="1F497D" w:themeColor="text2"/>
        </w:rPr>
        <w:t xml:space="preserve">– </w:t>
      </w:r>
      <w:r w:rsidRPr="00F75608">
        <w:t>Non</w:t>
      </w:r>
      <w:r w:rsidR="008941F8">
        <w:noBreakHyphen/>
      </w:r>
      <w:r w:rsidRPr="00F75608">
        <w:t>executive director of Lendlease Corporation, Viva Energy Group Limited, Clean Energy Finance Corporation, MetLife Insurance Limited, MetLife General Insurance Limited and GO (Goodes O</w:t>
      </w:r>
      <w:r w:rsidR="008941F8">
        <w:t>’</w:t>
      </w:r>
      <w:r w:rsidRPr="00F75608">
        <w:t>Loughlin) Foundation</w:t>
      </w:r>
      <w:r w:rsidRPr="00F75608">
        <w:rPr>
          <w:szCs w:val="22"/>
        </w:rPr>
        <w:t xml:space="preserve">. </w:t>
      </w:r>
      <w:r w:rsidRPr="00F75608">
        <w:rPr>
          <w:color w:val="auto"/>
          <w:szCs w:val="22"/>
        </w:rPr>
        <w:t xml:space="preserve">Chair of 30% Club Australia and Guardian of the Future Fund. </w:t>
      </w:r>
      <w:r w:rsidRPr="00F75608">
        <w:t>Member since 2015.</w:t>
      </w:r>
    </w:p>
    <w:p w14:paraId="2CF4F5AE" w14:textId="77777777" w:rsidR="00354605" w:rsidRDefault="00354605" w:rsidP="00ED74EC">
      <w:pPr>
        <w:rPr>
          <w:lang w:eastAsia="en-AU"/>
        </w:rPr>
      </w:pPr>
    </w:p>
    <w:p w14:paraId="571C6A4E" w14:textId="77777777" w:rsidR="002C5454" w:rsidRPr="00AB434D" w:rsidRDefault="002C5454" w:rsidP="00ED74EC">
      <w:pPr>
        <w:rPr>
          <w:lang w:eastAsia="en-AU"/>
        </w:rPr>
        <w:sectPr w:rsidR="002C5454" w:rsidRPr="00AB434D" w:rsidSect="007B72E6">
          <w:type w:val="oddPage"/>
          <w:pgSz w:w="11907" w:h="16840" w:code="9"/>
          <w:pgMar w:top="2466" w:right="2098" w:bottom="2466" w:left="2098" w:header="1899" w:footer="1899" w:gutter="0"/>
          <w:pgBorders w:offsetFrom="page">
            <w:bottom w:val="single" w:sz="2" w:space="24" w:color="1F497D" w:themeColor="text2"/>
          </w:pgBorders>
          <w:cols w:space="720"/>
          <w:titlePg/>
          <w:docGrid w:linePitch="286"/>
        </w:sectPr>
      </w:pPr>
    </w:p>
    <w:p w14:paraId="571C6A4F" w14:textId="0F9894AF" w:rsidR="006555DE" w:rsidRPr="00D32D52" w:rsidRDefault="00CC73CE" w:rsidP="00382254">
      <w:pPr>
        <w:pStyle w:val="Heading1"/>
      </w:pPr>
      <w:bookmarkStart w:id="147" w:name="_Toc362608077"/>
      <w:bookmarkStart w:id="148" w:name="_Toc174632389"/>
      <w:r>
        <w:lastRenderedPageBreak/>
        <w:t>Part </w:t>
      </w:r>
      <w:r w:rsidR="0003618F">
        <w:t>3</w:t>
      </w:r>
      <w:r w:rsidR="00CD2FE5">
        <w:t xml:space="preserve"> – </w:t>
      </w:r>
      <w:r w:rsidR="00325D7A">
        <w:t>T</w:t>
      </w:r>
      <w:r w:rsidR="0003618F">
        <w:t xml:space="preserve">he </w:t>
      </w:r>
      <w:r w:rsidR="00325D7A">
        <w:t>W</w:t>
      </w:r>
      <w:r w:rsidR="0003618F">
        <w:t xml:space="preserve">ork of the </w:t>
      </w:r>
      <w:r w:rsidR="00325D7A">
        <w:t>P</w:t>
      </w:r>
      <w:r w:rsidR="0003618F">
        <w:t>anel</w:t>
      </w:r>
      <w:bookmarkEnd w:id="147"/>
      <w:bookmarkEnd w:id="148"/>
    </w:p>
    <w:p w14:paraId="571C6A50" w14:textId="77777777" w:rsidR="00EB16CC" w:rsidRPr="00733089" w:rsidRDefault="00EB16CC" w:rsidP="00286051">
      <w:pPr>
        <w:pStyle w:val="Heading2"/>
      </w:pPr>
      <w:bookmarkStart w:id="149" w:name="_Toc174632390"/>
      <w:r w:rsidRPr="00733089">
        <w:t>Matters</w:t>
      </w:r>
      <w:bookmarkEnd w:id="149"/>
      <w:r w:rsidRPr="00733089">
        <w:fldChar w:fldCharType="begin"/>
      </w:r>
      <w:r w:rsidRPr="00733089">
        <w:instrText>xe "Matters"</w:instrText>
      </w:r>
      <w:r w:rsidRPr="00733089">
        <w:fldChar w:fldCharType="end"/>
      </w:r>
    </w:p>
    <w:p w14:paraId="571C6A51" w14:textId="403176BC" w:rsidR="00EB16CC" w:rsidRDefault="00EB16CC" w:rsidP="00C250E9">
      <w:pPr>
        <w:spacing w:after="180"/>
      </w:pPr>
      <w:r>
        <w:t>T</w:t>
      </w:r>
      <w:r w:rsidRPr="00D32D52">
        <w:t>he Panel resolve</w:t>
      </w:r>
      <w:r>
        <w:t>s</w:t>
      </w:r>
      <w:r w:rsidRPr="00D32D52">
        <w:t xml:space="preserve"> matters as quickly and as informally as a proper consideration of the issues permit</w:t>
      </w:r>
      <w:r>
        <w:t>s</w:t>
      </w:r>
      <w:r w:rsidRPr="00D32D52">
        <w:t>. Timeliness remains one of the key performance indicators for the Panel.</w:t>
      </w:r>
      <w:r>
        <w:t xml:space="preserve"> P</w:t>
      </w:r>
      <w:r w:rsidRPr="009640BD">
        <w:t>roceedings are generally conducted in private</w:t>
      </w:r>
      <w:r>
        <w:t xml:space="preserve"> because of c</w:t>
      </w:r>
      <w:r w:rsidRPr="009640BD">
        <w:t xml:space="preserve">ommercial sensitivity and time </w:t>
      </w:r>
      <w:r>
        <w:t>constraints</w:t>
      </w:r>
      <w:r w:rsidRPr="009640BD">
        <w:t xml:space="preserve">. </w:t>
      </w:r>
      <w:r>
        <w:t>T</w:t>
      </w:r>
      <w:r w:rsidRPr="009640BD">
        <w:t xml:space="preserve">he Panel has </w:t>
      </w:r>
      <w:r w:rsidR="006805F9">
        <w:t xml:space="preserve">the </w:t>
      </w:r>
      <w:r w:rsidRPr="009640BD">
        <w:t>power to invite or accept submissions from any person and to call for persons to make submissions.</w:t>
      </w:r>
    </w:p>
    <w:p w14:paraId="571C6A52" w14:textId="0A9D2A0E" w:rsidR="00EB16CC" w:rsidRDefault="00EB16CC" w:rsidP="00C250E9">
      <w:pPr>
        <w:spacing w:after="180"/>
      </w:pPr>
      <w:r>
        <w:t>The following chart maps the Panel</w:t>
      </w:r>
      <w:r w:rsidR="008941F8">
        <w:t>’</w:t>
      </w:r>
      <w:r>
        <w:t xml:space="preserve">s </w:t>
      </w:r>
      <w:r w:rsidR="00E50690">
        <w:t xml:space="preserve">usual </w:t>
      </w:r>
      <w:r>
        <w:t>process in relation to applications for declarations of unacceptable circumstances.</w:t>
      </w:r>
    </w:p>
    <w:p w14:paraId="571C6A53" w14:textId="55D9347C" w:rsidR="00067A9C" w:rsidRPr="00733089" w:rsidRDefault="00CC73CE" w:rsidP="00FD4AEA">
      <w:pPr>
        <w:pStyle w:val="ChartMainHeading"/>
      </w:pPr>
      <w:bookmarkStart w:id="150" w:name="_Toc146790827"/>
      <w:r>
        <w:t>Chart </w:t>
      </w:r>
      <w:r w:rsidR="003A2AD3" w:rsidRPr="00733089">
        <w:t>5</w:t>
      </w:r>
      <w:r w:rsidR="008C59E0" w:rsidRPr="00733089">
        <w:t>: The Panel</w:t>
      </w:r>
      <w:r w:rsidR="008941F8">
        <w:t>’</w:t>
      </w:r>
      <w:r w:rsidR="008C59E0" w:rsidRPr="00733089">
        <w:t xml:space="preserve">s process </w:t>
      </w:r>
      <w:r w:rsidR="000E282D" w:rsidRPr="00733089">
        <w:t>for</w:t>
      </w:r>
      <w:r w:rsidR="008C59E0" w:rsidRPr="00733089">
        <w:t xml:space="preserve"> applications for declarations of unacceptable </w:t>
      </w:r>
      <w:r w:rsidR="008C59E0" w:rsidRPr="00FD4AEA">
        <w:t>circumstances</w:t>
      </w:r>
      <w:bookmarkEnd w:id="150"/>
    </w:p>
    <w:p w14:paraId="571C6A54" w14:textId="77777777" w:rsidR="00A53D54" w:rsidRPr="00FD4AEA" w:rsidRDefault="00F36BD8" w:rsidP="00FD4AEA">
      <w:pPr>
        <w:pStyle w:val="ChartGraphic"/>
      </w:pPr>
      <w:r>
        <w:rPr>
          <w:noProof/>
        </w:rPr>
        <w:drawing>
          <wp:inline distT="0" distB="0" distL="0" distR="0" wp14:anchorId="571C6E1C" wp14:editId="1CD55687">
            <wp:extent cx="4860000" cy="4446590"/>
            <wp:effectExtent l="0" t="0" r="0" b="0"/>
            <wp:docPr id="1" name="Picture 1" descr="Flowchart diagram of the Panel’s process for applications for declarations of unacceptable circumstances.  &#10;1. Application - Advise market&#10;2. President – Makes interim orders (if urgent) – Advise market – Appoint sitting Panel&#10;3. Panel – Receive preliminary submissions&#10;4. Conduct Proceedings – No - Advise parties and market – Application for review (only with President’s consent) – Publish reasons – Post matter review&#10;5. Conduct proceedings – Yes – Consider interim orders or vary previous interim orders – Issue brief – Submissions and rebuttals&#10;6. Unacceptable circumstances – No – Advise parties and market – Application for review (only with President’s consent) – Publish reasons – Post matter review&#10;7. Unacceptable circumstances – Yes – Issue proposed declaration and supplementary brief on final order – Submissions and rebuttals – Declaration and Orders – Publish decision and final orders – Application for review - Publish reasons – Post matter re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diagram of the Panel’s process for applications for declarations of unacceptable circumstances.  &#10;1. Application - Advise market&#10;2. President – Makes interim orders (if urgent) – Advise market – Appoint sitting Panel&#10;3. Panel – Receive preliminary submissions&#10;4. Conduct Proceedings – No - Advise parties and market – Application for review (only with President’s consent) – Publish reasons – Post matter review&#10;5. Conduct proceedings – Yes – Consider interim orders or vary previous interim orders – Issue brief – Submissions and rebuttals&#10;6. Unacceptable circumstances – No – Advise parties and market – Application for review (only with President’s consent) – Publish reasons – Post matter review&#10;7. Unacceptable circumstances – Yes – Issue proposed declaration and supplementary brief on final order – Submissions and rebuttals – Declaration and Orders – Publish decision and final orders – Application for review - Publish reasons – Post matter review&#10;"/>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a:stretch/>
                  </pic:blipFill>
                  <pic:spPr bwMode="auto">
                    <a:xfrm>
                      <a:off x="0" y="0"/>
                      <a:ext cx="4860000" cy="4446590"/>
                    </a:xfrm>
                    <a:prstGeom prst="rect">
                      <a:avLst/>
                    </a:prstGeom>
                    <a:noFill/>
                    <a:ln>
                      <a:noFill/>
                    </a:ln>
                    <a:extLst>
                      <a:ext uri="{53640926-AAD7-44D8-BBD7-CCE9431645EC}">
                        <a14:shadowObscured xmlns:a14="http://schemas.microsoft.com/office/drawing/2010/main"/>
                      </a:ext>
                    </a:extLst>
                  </pic:spPr>
                </pic:pic>
              </a:graphicData>
            </a:graphic>
          </wp:inline>
        </w:drawing>
      </w:r>
    </w:p>
    <w:p w14:paraId="50346224" w14:textId="77777777" w:rsidR="00B45A6D" w:rsidRPr="00B45A6D" w:rsidRDefault="00EB16CC" w:rsidP="00B45A6D">
      <w:pPr>
        <w:pStyle w:val="nospace"/>
      </w:pPr>
      <w:r w:rsidRPr="00B45A6D">
        <w:br w:type="page"/>
      </w:r>
    </w:p>
    <w:p w14:paraId="53CB6243" w14:textId="01988F9B" w:rsidR="004106FC" w:rsidRDefault="004106FC" w:rsidP="00C250E9">
      <w:r w:rsidRPr="0080015F">
        <w:lastRenderedPageBreak/>
        <w:t xml:space="preserve">The Panel </w:t>
      </w:r>
      <w:r>
        <w:t>usually receives material voluntarily from parties in response to a Panel brief</w:t>
      </w:r>
      <w:r w:rsidR="00D16381">
        <w:t xml:space="preserve">. </w:t>
      </w:r>
      <w:r w:rsidRPr="00EB36DF">
        <w:t>The Panel has the power to convene a conference</w:t>
      </w:r>
      <w:r w:rsidRPr="00EB36DF">
        <w:rPr>
          <w:rStyle w:val="FootnoteReference"/>
        </w:rPr>
        <w:footnoteReference w:id="18"/>
      </w:r>
      <w:r w:rsidRPr="00EB36DF">
        <w:t xml:space="preserve"> and summon witnesses to give evidence and provide documents</w:t>
      </w:r>
      <w:r w:rsidRPr="00EB36DF">
        <w:rPr>
          <w:rStyle w:val="FootnoteReference"/>
        </w:rPr>
        <w:footnoteReference w:id="19"/>
      </w:r>
      <w:r w:rsidR="001D6CB9" w:rsidRPr="00EB36DF">
        <w:t>.</w:t>
      </w:r>
      <w:r w:rsidR="001F0DE8">
        <w:t xml:space="preserve"> </w:t>
      </w:r>
      <w:r w:rsidR="00412FED" w:rsidRPr="001D6CB9">
        <w:t>During the 202</w:t>
      </w:r>
      <w:r w:rsidR="001D6CB9" w:rsidRPr="001D6CB9">
        <w:t>3</w:t>
      </w:r>
      <w:r w:rsidR="00412FED" w:rsidRPr="001D6CB9">
        <w:t>–202</w:t>
      </w:r>
      <w:r w:rsidR="001D6CB9" w:rsidRPr="001D6CB9">
        <w:t>4</w:t>
      </w:r>
      <w:r w:rsidR="00412FED" w:rsidRPr="001D6CB9">
        <w:t xml:space="preserve"> financial year t</w:t>
      </w:r>
      <w:r w:rsidRPr="001D6CB9">
        <w:t>he</w:t>
      </w:r>
      <w:r w:rsidR="00412FED" w:rsidRPr="001D6CB9">
        <w:t xml:space="preserve"> Panel </w:t>
      </w:r>
      <w:r w:rsidR="001D6CB9" w:rsidRPr="001D6CB9">
        <w:t>did not conduct any conferences or summons any witnesses.</w:t>
      </w:r>
    </w:p>
    <w:p w14:paraId="571C6A55" w14:textId="75C1CEF8" w:rsidR="00E50690" w:rsidRDefault="00EB16CC" w:rsidP="00C250E9">
      <w:r>
        <w:t>Further description of the Panel</w:t>
      </w:r>
      <w:r w:rsidR="008941F8">
        <w:t>’</w:t>
      </w:r>
      <w:r>
        <w:t>s process</w:t>
      </w:r>
      <w:r w:rsidR="00394BA3">
        <w:t>es</w:t>
      </w:r>
      <w:r>
        <w:t xml:space="preserve"> can be found on its website</w:t>
      </w:r>
      <w:r w:rsidR="006B6647">
        <w:t xml:space="preserve">. </w:t>
      </w:r>
    </w:p>
    <w:p w14:paraId="571C6A56" w14:textId="363288C3" w:rsidR="006555DE" w:rsidRDefault="00CC73CE" w:rsidP="00C250E9">
      <w:r w:rsidRPr="009D183E">
        <w:t>Appendix </w:t>
      </w:r>
      <w:r w:rsidR="00331672" w:rsidRPr="009D183E">
        <w:t>3</w:t>
      </w:r>
      <w:r w:rsidR="006555DE" w:rsidRPr="009D183E">
        <w:t xml:space="preserve"> lists the applications in the current period</w:t>
      </w:r>
      <w:r w:rsidR="0005163B" w:rsidRPr="009D183E">
        <w:t xml:space="preserve"> (</w:t>
      </w:r>
      <w:r w:rsidR="009D183E" w:rsidRPr="009D183E">
        <w:t>25</w:t>
      </w:r>
      <w:r w:rsidR="0005163B" w:rsidRPr="009D183E">
        <w:t xml:space="preserve"> in total)</w:t>
      </w:r>
      <w:r w:rsidR="006555DE" w:rsidRPr="009D183E">
        <w:t>.</w:t>
      </w:r>
      <w:r w:rsidR="006272E0" w:rsidRPr="009D183E">
        <w:t xml:space="preserve"> </w:t>
      </w:r>
      <w:r w:rsidRPr="009D183E">
        <w:t>Table </w:t>
      </w:r>
      <w:r w:rsidR="00AE6FB0" w:rsidRPr="009D183E">
        <w:t>3 groups the applications by outcome</w:t>
      </w:r>
      <w:r w:rsidR="005C167E" w:rsidRPr="009D183E">
        <w:t xml:space="preserve"> and Table 4 shows the time frame to decision. </w:t>
      </w:r>
      <w:r w:rsidRPr="009D183E">
        <w:t>Table </w:t>
      </w:r>
      <w:r w:rsidR="00A54583" w:rsidRPr="009D183E">
        <w:t>5</w:t>
      </w:r>
      <w:r w:rsidR="005B7A24" w:rsidRPr="009D183E">
        <w:t xml:space="preserve"> groups </w:t>
      </w:r>
      <w:r w:rsidR="00C4532F" w:rsidRPr="009D183E">
        <w:t>applications</w:t>
      </w:r>
      <w:r w:rsidR="005B7A24" w:rsidRPr="009D183E">
        <w:t xml:space="preserve"> by </w:t>
      </w:r>
      <w:r w:rsidR="00551D4E" w:rsidRPr="009D183E">
        <w:t>subject matter</w:t>
      </w:r>
      <w:r w:rsidR="005B7A24" w:rsidRPr="009D183E">
        <w:t>.</w:t>
      </w:r>
    </w:p>
    <w:p w14:paraId="571C6A57" w14:textId="5F0648CB" w:rsidR="008C59E0" w:rsidRPr="00A07714" w:rsidRDefault="00CC73CE" w:rsidP="00946668">
      <w:pPr>
        <w:pStyle w:val="TableMainHeading"/>
      </w:pPr>
      <w:bookmarkStart w:id="151" w:name="_Toc146790810"/>
      <w:r w:rsidRPr="00D71361">
        <w:t>Table </w:t>
      </w:r>
      <w:r w:rsidR="008C59E0" w:rsidRPr="00D71361">
        <w:t xml:space="preserve">3: </w:t>
      </w:r>
      <w:r w:rsidR="00AE6FB0" w:rsidRPr="00D71361">
        <w:t xml:space="preserve">Outcome </w:t>
      </w:r>
      <w:r w:rsidR="008C59E0" w:rsidRPr="00D71361">
        <w:t>of applications received by the Panel</w:t>
      </w:r>
      <w:r w:rsidR="00076B7D" w:rsidRPr="00D71361">
        <w:t>,</w:t>
      </w:r>
      <w:r w:rsidR="008C59E0" w:rsidRPr="00D71361">
        <w:t xml:space="preserve"> 20</w:t>
      </w:r>
      <w:r w:rsidR="00CC4985" w:rsidRPr="00D71361">
        <w:t>2</w:t>
      </w:r>
      <w:r w:rsidR="00BC447F" w:rsidRPr="00D71361">
        <w:t>3</w:t>
      </w:r>
      <w:r w:rsidR="00550FAF" w:rsidRPr="00D71361">
        <w:t>–</w:t>
      </w:r>
      <w:r w:rsidR="0030123B" w:rsidRPr="00D71361">
        <w:t>2</w:t>
      </w:r>
      <w:bookmarkEnd w:id="151"/>
      <w:r w:rsidR="00BC447F" w:rsidRPr="00D71361">
        <w:t>4</w:t>
      </w:r>
      <w:r w:rsidR="00F97D1D" w:rsidRPr="00D71361">
        <w:fldChar w:fldCharType="begin"/>
      </w:r>
      <w:r w:rsidR="00F97D1D" w:rsidRPr="00D71361">
        <w:instrText>xe "Applications"</w:instrText>
      </w:r>
      <w:r w:rsidR="00F97D1D" w:rsidRPr="00D71361">
        <w:fldChar w:fldCharType="end"/>
      </w:r>
    </w:p>
    <w:tbl>
      <w:tblPr>
        <w:tblStyle w:val="TP-ARtotal"/>
        <w:tblW w:w="5000" w:type="pct"/>
        <w:tblLook w:val="06E0" w:firstRow="1" w:lastRow="1" w:firstColumn="1" w:lastColumn="0" w:noHBand="1" w:noVBand="1"/>
      </w:tblPr>
      <w:tblGrid>
        <w:gridCol w:w="1924"/>
        <w:gridCol w:w="1157"/>
        <w:gridCol w:w="4630"/>
      </w:tblGrid>
      <w:tr w:rsidR="006272E0" w:rsidRPr="008D09DD" w14:paraId="571C6A5B" w14:textId="77777777" w:rsidTr="00702498">
        <w:trPr>
          <w:cnfStyle w:val="100000000000" w:firstRow="1" w:lastRow="0" w:firstColumn="0" w:lastColumn="0" w:oddVBand="0" w:evenVBand="0" w:oddHBand="0" w:evenHBand="0" w:firstRowFirstColumn="0" w:firstRowLastColumn="0" w:lastRowFirstColumn="0" w:lastRowLastColumn="0"/>
        </w:trPr>
        <w:tc>
          <w:tcPr>
            <w:tcW w:w="1250" w:type="pct"/>
          </w:tcPr>
          <w:p w14:paraId="571C6A58" w14:textId="77777777" w:rsidR="006272E0" w:rsidRPr="00BC447F" w:rsidRDefault="006272E0" w:rsidP="00B45A6D">
            <w:pPr>
              <w:pStyle w:val="TableColumnHeadingLeft"/>
            </w:pPr>
            <w:bookmarkStart w:id="152" w:name="_Hlk141276873"/>
            <w:r w:rsidRPr="00BC447F">
              <w:t>Form of resolution</w:t>
            </w:r>
          </w:p>
        </w:tc>
        <w:tc>
          <w:tcPr>
            <w:tcW w:w="736" w:type="pct"/>
          </w:tcPr>
          <w:p w14:paraId="571C6A59" w14:textId="77777777" w:rsidR="006272E0" w:rsidRPr="00BC447F" w:rsidRDefault="006272E0" w:rsidP="008715D6">
            <w:pPr>
              <w:pStyle w:val="TableColumnHeadingRight"/>
            </w:pPr>
            <w:r w:rsidRPr="00BC447F">
              <w:t>Number of matters</w:t>
            </w:r>
          </w:p>
        </w:tc>
        <w:tc>
          <w:tcPr>
            <w:tcW w:w="3000" w:type="pct"/>
          </w:tcPr>
          <w:p w14:paraId="571C6A5A" w14:textId="77777777" w:rsidR="006272E0" w:rsidRPr="00BC447F" w:rsidRDefault="00551D4E" w:rsidP="00B45A6D">
            <w:pPr>
              <w:pStyle w:val="TableColumnHeadingLeft"/>
            </w:pPr>
            <w:r w:rsidRPr="00BC447F">
              <w:t>Comments</w:t>
            </w:r>
          </w:p>
        </w:tc>
      </w:tr>
      <w:tr w:rsidR="006272E0" w:rsidRPr="008D09DD" w14:paraId="571C6A5F" w14:textId="77777777" w:rsidTr="00702498">
        <w:tc>
          <w:tcPr>
            <w:tcW w:w="1250" w:type="pct"/>
          </w:tcPr>
          <w:p w14:paraId="571C6A5C" w14:textId="3C7B89F4" w:rsidR="006272E0" w:rsidRPr="00BC447F" w:rsidRDefault="006272E0" w:rsidP="00B45A6D">
            <w:pPr>
              <w:pStyle w:val="TableTextLeft-Arial"/>
            </w:pPr>
            <w:r w:rsidRPr="00BC447F">
              <w:t>Declaration</w:t>
            </w:r>
            <w:r w:rsidR="0088533C" w:rsidRPr="00BC447F">
              <w:t xml:space="preserve"> and</w:t>
            </w:r>
            <w:r w:rsidR="00BB21EA" w:rsidRPr="00BC447F">
              <w:t xml:space="preserve"> </w:t>
            </w:r>
            <w:r w:rsidR="0088533C" w:rsidRPr="00BC447F">
              <w:t xml:space="preserve">Orders </w:t>
            </w:r>
          </w:p>
        </w:tc>
        <w:tc>
          <w:tcPr>
            <w:tcW w:w="736" w:type="pct"/>
          </w:tcPr>
          <w:p w14:paraId="571C6A5D" w14:textId="19A7D665" w:rsidR="006272E0" w:rsidRPr="00BC447F" w:rsidRDefault="00BC447F" w:rsidP="004F7091">
            <w:pPr>
              <w:pStyle w:val="TableTextRight-Arial"/>
            </w:pPr>
            <w:r>
              <w:t>8 + 1 (declaration</w:t>
            </w:r>
            <w:r w:rsidR="002D2C29">
              <w:t xml:space="preserve"> only)</w:t>
            </w:r>
          </w:p>
        </w:tc>
        <w:tc>
          <w:tcPr>
            <w:tcW w:w="3000" w:type="pct"/>
          </w:tcPr>
          <w:p w14:paraId="571C6A5E" w14:textId="77777777" w:rsidR="006272E0" w:rsidRPr="00ED58E4" w:rsidRDefault="005107D5" w:rsidP="00B45A6D">
            <w:pPr>
              <w:pStyle w:val="TableTextLeft-Arial"/>
            </w:pPr>
            <w:r w:rsidRPr="00ED58E4">
              <w:t xml:space="preserve">Circumstances are unacceptable and </w:t>
            </w:r>
            <w:r w:rsidR="00551D4E" w:rsidRPr="00ED58E4">
              <w:t>may</w:t>
            </w:r>
            <w:r w:rsidRPr="00ED58E4">
              <w:t xml:space="preserve"> be remedied</w:t>
            </w:r>
            <w:r w:rsidR="00B04D16" w:rsidRPr="00ED58E4">
              <w:t xml:space="preserve"> with orders</w:t>
            </w:r>
          </w:p>
        </w:tc>
      </w:tr>
      <w:tr w:rsidR="006272E0" w:rsidRPr="008D09DD" w14:paraId="571C6A63" w14:textId="77777777" w:rsidTr="00702498">
        <w:tc>
          <w:tcPr>
            <w:tcW w:w="1250" w:type="pct"/>
          </w:tcPr>
          <w:p w14:paraId="571C6A60" w14:textId="77777777" w:rsidR="006272E0" w:rsidRPr="00BC447F" w:rsidRDefault="00B04D16" w:rsidP="00B45A6D">
            <w:pPr>
              <w:pStyle w:val="TableTextLeft-Arial"/>
            </w:pPr>
            <w:r w:rsidRPr="00BC447F">
              <w:t xml:space="preserve">Declaration and </w:t>
            </w:r>
            <w:r w:rsidR="0088533C" w:rsidRPr="00BC447F">
              <w:t>Undertakings</w:t>
            </w:r>
            <w:r w:rsidR="006272E0" w:rsidRPr="00BC447F">
              <w:rPr>
                <w:rStyle w:val="FootnoteReference"/>
              </w:rPr>
              <w:footnoteReference w:id="20"/>
            </w:r>
          </w:p>
        </w:tc>
        <w:tc>
          <w:tcPr>
            <w:tcW w:w="736" w:type="pct"/>
          </w:tcPr>
          <w:p w14:paraId="571C6A61" w14:textId="050E518B" w:rsidR="006272E0" w:rsidRPr="00BC447F" w:rsidRDefault="00BC447F" w:rsidP="004F7091">
            <w:pPr>
              <w:pStyle w:val="TableTextRight-Arial"/>
            </w:pPr>
            <w:r>
              <w:t>0</w:t>
            </w:r>
          </w:p>
        </w:tc>
        <w:tc>
          <w:tcPr>
            <w:tcW w:w="3000" w:type="pct"/>
          </w:tcPr>
          <w:p w14:paraId="571C6A62" w14:textId="77777777" w:rsidR="006272E0" w:rsidRPr="00ED58E4" w:rsidRDefault="005107D5" w:rsidP="00B45A6D">
            <w:pPr>
              <w:pStyle w:val="TableTextLeft-Arial"/>
            </w:pPr>
            <w:r w:rsidRPr="00ED58E4">
              <w:t>Potential substitute for orders</w:t>
            </w:r>
          </w:p>
        </w:tc>
      </w:tr>
      <w:tr w:rsidR="007D0369" w:rsidRPr="008D09DD" w14:paraId="34FF2E59" w14:textId="77777777" w:rsidTr="00702498">
        <w:tc>
          <w:tcPr>
            <w:tcW w:w="1250" w:type="pct"/>
          </w:tcPr>
          <w:p w14:paraId="66616D6C" w14:textId="6D78D2C5" w:rsidR="007D0369" w:rsidRPr="00BC447F" w:rsidRDefault="007D0369" w:rsidP="00B45A6D">
            <w:pPr>
              <w:pStyle w:val="TableTextLeft-Arial"/>
            </w:pPr>
            <w:r w:rsidRPr="00BC447F">
              <w:t>Conduct proceedings, no declaration, undertaking/</w:t>
            </w:r>
            <w:r w:rsidR="00FE7C3B" w:rsidRPr="00BC447F">
              <w:br/>
            </w:r>
            <w:r w:rsidRPr="00BC447F">
              <w:t>action by party</w:t>
            </w:r>
          </w:p>
        </w:tc>
        <w:tc>
          <w:tcPr>
            <w:tcW w:w="736" w:type="pct"/>
          </w:tcPr>
          <w:p w14:paraId="42AFB016" w14:textId="0DECF1D0" w:rsidR="007D0369" w:rsidRPr="00BC447F" w:rsidRDefault="00BC447F" w:rsidP="004F7091">
            <w:pPr>
              <w:pStyle w:val="TableTextRight-Arial"/>
            </w:pPr>
            <w:r>
              <w:t>4</w:t>
            </w:r>
          </w:p>
        </w:tc>
        <w:tc>
          <w:tcPr>
            <w:tcW w:w="3000" w:type="pct"/>
          </w:tcPr>
          <w:p w14:paraId="69030C63" w14:textId="0E653181" w:rsidR="007D0369" w:rsidRPr="00ED58E4" w:rsidRDefault="007D0369" w:rsidP="00B45A6D">
            <w:pPr>
              <w:pStyle w:val="TableTextLeft-Arial"/>
            </w:pPr>
            <w:r w:rsidRPr="00ED58E4">
              <w:t>Panel decides to conduct proceedings, but does not find any unacceptable circumstances after a party provides an undertaking or takes an action that resolves any potential unacceptable circumstances</w:t>
            </w:r>
          </w:p>
        </w:tc>
      </w:tr>
      <w:tr w:rsidR="007D0369" w:rsidRPr="008D09DD" w14:paraId="6D6046CB" w14:textId="77777777" w:rsidTr="00702498">
        <w:tc>
          <w:tcPr>
            <w:tcW w:w="1250" w:type="pct"/>
          </w:tcPr>
          <w:p w14:paraId="1E0E0176" w14:textId="7435AF2F" w:rsidR="007D0369" w:rsidRPr="00BC447F" w:rsidRDefault="007D0369" w:rsidP="00B45A6D">
            <w:pPr>
              <w:pStyle w:val="TableTextLeft-Arial"/>
            </w:pPr>
            <w:r w:rsidRPr="00BC447F">
              <w:t>Conduct proceedings, no</w:t>
            </w:r>
            <w:r w:rsidR="00FE7C3B" w:rsidRPr="00BC447F">
              <w:t> </w:t>
            </w:r>
            <w:r w:rsidRPr="00BC447F">
              <w:t>declaration</w:t>
            </w:r>
          </w:p>
        </w:tc>
        <w:tc>
          <w:tcPr>
            <w:tcW w:w="736" w:type="pct"/>
          </w:tcPr>
          <w:p w14:paraId="1A5ABCB9" w14:textId="5A3BFE48" w:rsidR="007D0369" w:rsidRPr="00BC447F" w:rsidRDefault="00BC447F" w:rsidP="004F7091">
            <w:pPr>
              <w:pStyle w:val="TableTextRight-Arial"/>
            </w:pPr>
            <w:r>
              <w:t>0</w:t>
            </w:r>
          </w:p>
        </w:tc>
        <w:tc>
          <w:tcPr>
            <w:tcW w:w="3000" w:type="pct"/>
          </w:tcPr>
          <w:p w14:paraId="2606C92B" w14:textId="2B7E35A6" w:rsidR="007D0369" w:rsidRPr="00ED58E4" w:rsidRDefault="007D0369" w:rsidP="00B45A6D">
            <w:pPr>
              <w:pStyle w:val="TableTextLeft-Arial"/>
            </w:pPr>
            <w:r w:rsidRPr="00ED58E4">
              <w:t>Panel decides to conduct proceedings, but does not find any unacceptable circumstances</w:t>
            </w:r>
          </w:p>
        </w:tc>
      </w:tr>
      <w:tr w:rsidR="007D0369" w:rsidRPr="008D09DD" w14:paraId="571C6A6B" w14:textId="77777777" w:rsidTr="00702498">
        <w:tc>
          <w:tcPr>
            <w:tcW w:w="1250" w:type="pct"/>
          </w:tcPr>
          <w:p w14:paraId="571C6A68" w14:textId="38CC12C5" w:rsidR="007D0369" w:rsidRPr="00BC447F" w:rsidRDefault="007D0369" w:rsidP="00B45A6D">
            <w:pPr>
              <w:pStyle w:val="TableTextLeft-Arial"/>
            </w:pPr>
            <w:r w:rsidRPr="00BC447F">
              <w:t>Decline to conduct proceedings, undertaking/</w:t>
            </w:r>
            <w:r w:rsidR="00FE7C3B" w:rsidRPr="00BC447F">
              <w:br/>
            </w:r>
            <w:r w:rsidRPr="00BC447F">
              <w:t>action by party</w:t>
            </w:r>
          </w:p>
        </w:tc>
        <w:tc>
          <w:tcPr>
            <w:tcW w:w="736" w:type="pct"/>
          </w:tcPr>
          <w:p w14:paraId="571C6A69" w14:textId="2803AFB9" w:rsidR="007D0369" w:rsidRPr="00BC447F" w:rsidRDefault="00BC447F" w:rsidP="004F7091">
            <w:pPr>
              <w:pStyle w:val="TableTextRight-Arial"/>
            </w:pPr>
            <w:r>
              <w:t>1</w:t>
            </w:r>
          </w:p>
        </w:tc>
        <w:tc>
          <w:tcPr>
            <w:tcW w:w="3000" w:type="pct"/>
          </w:tcPr>
          <w:p w14:paraId="571C6A6A" w14:textId="77777777" w:rsidR="007D0369" w:rsidRPr="00ED58E4" w:rsidRDefault="007D0369" w:rsidP="00B45A6D">
            <w:pPr>
              <w:pStyle w:val="TableTextLeft-Arial"/>
            </w:pPr>
            <w:r w:rsidRPr="00ED58E4">
              <w:t>Panel decides to not conduct proceedings after a party provides an undertaking or takes an action that resolves any potential unacceptable circumstances</w:t>
            </w:r>
          </w:p>
        </w:tc>
      </w:tr>
      <w:tr w:rsidR="007D0369" w:rsidRPr="008D09DD" w14:paraId="571C6A6F" w14:textId="77777777" w:rsidTr="00702498">
        <w:tc>
          <w:tcPr>
            <w:tcW w:w="1250" w:type="pct"/>
          </w:tcPr>
          <w:p w14:paraId="571C6A6C" w14:textId="77777777" w:rsidR="007D0369" w:rsidRPr="00BC447F" w:rsidRDefault="007D0369" w:rsidP="00B45A6D">
            <w:pPr>
              <w:pStyle w:val="TableTextLeft-Arial"/>
            </w:pPr>
            <w:r w:rsidRPr="00BC447F">
              <w:t>Decline to conduct proceedings</w:t>
            </w:r>
          </w:p>
        </w:tc>
        <w:tc>
          <w:tcPr>
            <w:tcW w:w="736" w:type="pct"/>
          </w:tcPr>
          <w:p w14:paraId="571C6A6D" w14:textId="3EC46DA7" w:rsidR="007D0369" w:rsidRPr="00BC447F" w:rsidRDefault="00BC447F" w:rsidP="004F7091">
            <w:pPr>
              <w:pStyle w:val="TableTextRight-Arial"/>
            </w:pPr>
            <w:r>
              <w:t>10</w:t>
            </w:r>
          </w:p>
        </w:tc>
        <w:tc>
          <w:tcPr>
            <w:tcW w:w="3000" w:type="pct"/>
          </w:tcPr>
          <w:p w14:paraId="571C6A6E" w14:textId="77777777" w:rsidR="007D0369" w:rsidRPr="00ED58E4" w:rsidRDefault="007D0369" w:rsidP="00B45A6D">
            <w:pPr>
              <w:pStyle w:val="TableTextLeft-Arial"/>
            </w:pPr>
            <w:r w:rsidRPr="00ED58E4">
              <w:t>Panel does not conduct proceedings, for example, because it did not think the circumstances complained of would be unacceptable, or there was not a sufficient basis for inquiring further</w:t>
            </w:r>
          </w:p>
        </w:tc>
      </w:tr>
      <w:tr w:rsidR="007D0369" w:rsidRPr="008D09DD" w14:paraId="571C6A73" w14:textId="77777777" w:rsidTr="00702498">
        <w:tc>
          <w:tcPr>
            <w:tcW w:w="1250" w:type="pct"/>
          </w:tcPr>
          <w:p w14:paraId="571C6A70" w14:textId="77777777" w:rsidR="007D0369" w:rsidRPr="00BC447F" w:rsidRDefault="007D0369" w:rsidP="00B45A6D">
            <w:pPr>
              <w:pStyle w:val="TableTextLeft-Arial"/>
            </w:pPr>
            <w:r w:rsidRPr="00BC447F">
              <w:t>Proceedings withdrawn</w:t>
            </w:r>
          </w:p>
        </w:tc>
        <w:tc>
          <w:tcPr>
            <w:tcW w:w="736" w:type="pct"/>
          </w:tcPr>
          <w:p w14:paraId="571C6A71" w14:textId="34C7F5A7" w:rsidR="007D0369" w:rsidRPr="00BC447F" w:rsidRDefault="00BC447F" w:rsidP="00BF3F03">
            <w:pPr>
              <w:pStyle w:val="TableTextRight-Arial"/>
            </w:pPr>
            <w:r>
              <w:t>1</w:t>
            </w:r>
          </w:p>
        </w:tc>
        <w:tc>
          <w:tcPr>
            <w:tcW w:w="3000" w:type="pct"/>
          </w:tcPr>
          <w:p w14:paraId="571C6A72" w14:textId="77777777" w:rsidR="007D0369" w:rsidRPr="00ED58E4" w:rsidRDefault="007D0369" w:rsidP="00B45A6D">
            <w:pPr>
              <w:pStyle w:val="TableTextLeft-Arial"/>
            </w:pPr>
            <w:r w:rsidRPr="00ED58E4">
              <w:t>Applicant withdraws (Panel consent is required)</w:t>
            </w:r>
          </w:p>
        </w:tc>
      </w:tr>
      <w:tr w:rsidR="007D0369" w:rsidRPr="00D90220" w14:paraId="571C6A77" w14:textId="77777777" w:rsidTr="00702498">
        <w:trPr>
          <w:cnfStyle w:val="010000000000" w:firstRow="0" w:lastRow="1" w:firstColumn="0" w:lastColumn="0" w:oddVBand="0" w:evenVBand="0" w:oddHBand="0" w:evenHBand="0" w:firstRowFirstColumn="0" w:firstRowLastColumn="0" w:lastRowFirstColumn="0" w:lastRowLastColumn="0"/>
        </w:trPr>
        <w:tc>
          <w:tcPr>
            <w:tcW w:w="1250" w:type="pct"/>
          </w:tcPr>
          <w:p w14:paraId="571C6A74" w14:textId="77777777" w:rsidR="007D0369" w:rsidRPr="00BC447F" w:rsidRDefault="007D0369" w:rsidP="00B45A6D">
            <w:pPr>
              <w:pStyle w:val="TableColumnHeadingLeft"/>
            </w:pPr>
            <w:r w:rsidRPr="00BC447F">
              <w:t>Total</w:t>
            </w:r>
          </w:p>
        </w:tc>
        <w:tc>
          <w:tcPr>
            <w:tcW w:w="736" w:type="pct"/>
          </w:tcPr>
          <w:p w14:paraId="571C6A75" w14:textId="0887C3A7" w:rsidR="007D0369" w:rsidRPr="00961503" w:rsidRDefault="00D71361" w:rsidP="00FD4AEA">
            <w:pPr>
              <w:pStyle w:val="TableColumnHeadingRight"/>
              <w:rPr>
                <w:highlight w:val="green"/>
              </w:rPr>
            </w:pPr>
            <w:r w:rsidRPr="0025484C">
              <w:t>25</w:t>
            </w:r>
          </w:p>
        </w:tc>
        <w:tc>
          <w:tcPr>
            <w:tcW w:w="3000" w:type="pct"/>
          </w:tcPr>
          <w:p w14:paraId="571C6A76" w14:textId="77777777" w:rsidR="007D0369" w:rsidRPr="00961503" w:rsidRDefault="007D0369" w:rsidP="00B45A6D">
            <w:pPr>
              <w:pStyle w:val="TableTextLeft-Arial"/>
              <w:rPr>
                <w:highlight w:val="green"/>
              </w:rPr>
            </w:pPr>
          </w:p>
        </w:tc>
      </w:tr>
    </w:tbl>
    <w:p w14:paraId="3C17557F" w14:textId="791EE3E8" w:rsidR="00E67CE2" w:rsidRPr="0025484C" w:rsidRDefault="00E67CE2" w:rsidP="00E67CE2">
      <w:pPr>
        <w:pStyle w:val="TableMainHeading"/>
      </w:pPr>
      <w:bookmarkStart w:id="153" w:name="_Toc146790811"/>
      <w:bookmarkStart w:id="154" w:name="_Toc113248330"/>
      <w:bookmarkStart w:id="155" w:name="_Toc148348459"/>
      <w:bookmarkStart w:id="156" w:name="_Toc177204249"/>
      <w:bookmarkStart w:id="157" w:name="_Toc204589454"/>
      <w:bookmarkStart w:id="158" w:name="_Toc204590138"/>
      <w:bookmarkStart w:id="159" w:name="_Toc204591223"/>
      <w:bookmarkStart w:id="160" w:name="_Toc204591282"/>
      <w:bookmarkStart w:id="161" w:name="_Toc204591396"/>
      <w:bookmarkStart w:id="162" w:name="_Toc207163416"/>
      <w:bookmarkStart w:id="163" w:name="_Toc332277166"/>
      <w:bookmarkStart w:id="164" w:name="_Toc362608079"/>
      <w:bookmarkEnd w:id="152"/>
      <w:r w:rsidRPr="0025484C">
        <w:lastRenderedPageBreak/>
        <w:t>Table 4: Time</w:t>
      </w:r>
      <w:r w:rsidR="00AB2C1E" w:rsidRPr="0025484C">
        <w:t xml:space="preserve"> to</w:t>
      </w:r>
      <w:r w:rsidRPr="0025484C">
        <w:t xml:space="preserve"> decision by the Panel</w:t>
      </w:r>
      <w:r w:rsidR="00076B7D" w:rsidRPr="0025484C">
        <w:t>,</w:t>
      </w:r>
      <w:r w:rsidRPr="0025484C">
        <w:t xml:space="preserve"> 202</w:t>
      </w:r>
      <w:r w:rsidR="0025484C">
        <w:t>3</w:t>
      </w:r>
      <w:r w:rsidRPr="0025484C">
        <w:t>–2</w:t>
      </w:r>
      <w:bookmarkEnd w:id="153"/>
      <w:r w:rsidR="0025484C">
        <w:t>4</w:t>
      </w:r>
      <w:r w:rsidRPr="0025484C">
        <w:fldChar w:fldCharType="begin"/>
      </w:r>
      <w:r w:rsidRPr="0025484C">
        <w:instrText>xe "</w:instrText>
      </w:r>
      <w:r w:rsidR="00A54583" w:rsidRPr="0025484C">
        <w:instrText>Decision</w:instrText>
      </w:r>
      <w:r w:rsidRPr="0025484C">
        <w:instrText>"</w:instrText>
      </w:r>
      <w:r w:rsidRPr="0025484C">
        <w:fldChar w:fldCharType="end"/>
      </w:r>
    </w:p>
    <w:tbl>
      <w:tblPr>
        <w:tblStyle w:val="TP-ARtotal"/>
        <w:tblW w:w="5000" w:type="pct"/>
        <w:tblLook w:val="06E0" w:firstRow="1" w:lastRow="1" w:firstColumn="1" w:lastColumn="0" w:noHBand="1" w:noVBand="1"/>
      </w:tblPr>
      <w:tblGrid>
        <w:gridCol w:w="3855"/>
        <w:gridCol w:w="1928"/>
        <w:gridCol w:w="1928"/>
      </w:tblGrid>
      <w:tr w:rsidR="00E67CE2" w:rsidRPr="0025484C" w14:paraId="7F318569" w14:textId="77777777" w:rsidTr="00702498">
        <w:trPr>
          <w:cnfStyle w:val="100000000000" w:firstRow="1" w:lastRow="0" w:firstColumn="0" w:lastColumn="0" w:oddVBand="0" w:evenVBand="0" w:oddHBand="0" w:evenHBand="0" w:firstRowFirstColumn="0" w:firstRowLastColumn="0" w:lastRowFirstColumn="0" w:lastRowLastColumn="0"/>
        </w:trPr>
        <w:tc>
          <w:tcPr>
            <w:tcW w:w="2500" w:type="pct"/>
          </w:tcPr>
          <w:p w14:paraId="6637C11A" w14:textId="30E11447" w:rsidR="00E67CE2" w:rsidRPr="0025484C" w:rsidRDefault="00E67CE2" w:rsidP="00B45A6D">
            <w:pPr>
              <w:pStyle w:val="TableColumnHeadingLeft"/>
            </w:pPr>
            <w:r w:rsidRPr="0025484C">
              <w:t>Time to decision</w:t>
            </w:r>
          </w:p>
        </w:tc>
        <w:tc>
          <w:tcPr>
            <w:tcW w:w="1250" w:type="pct"/>
          </w:tcPr>
          <w:p w14:paraId="03F7E5BB" w14:textId="77777777" w:rsidR="00E67CE2" w:rsidRPr="0025484C" w:rsidRDefault="00E67CE2" w:rsidP="00B45A6D">
            <w:pPr>
              <w:pStyle w:val="TableColumnHeadingRight"/>
            </w:pPr>
            <w:r w:rsidRPr="0025484C">
              <w:t>Number of matters</w:t>
            </w:r>
          </w:p>
        </w:tc>
        <w:tc>
          <w:tcPr>
            <w:tcW w:w="1250" w:type="pct"/>
          </w:tcPr>
          <w:p w14:paraId="5834DDE5" w14:textId="41FAA6F9" w:rsidR="00E67CE2" w:rsidRPr="0025484C" w:rsidRDefault="00E67CE2" w:rsidP="00B45A6D">
            <w:pPr>
              <w:pStyle w:val="TableColumnHeadingRight"/>
            </w:pPr>
            <w:r w:rsidRPr="0025484C">
              <w:t>Average days</w:t>
            </w:r>
            <w:r w:rsidR="00B956B4" w:rsidRPr="0025484C">
              <w:rPr>
                <w:rStyle w:val="FootnoteReference"/>
              </w:rPr>
              <w:footnoteReference w:id="21"/>
            </w:r>
          </w:p>
        </w:tc>
      </w:tr>
      <w:tr w:rsidR="00E67CE2" w:rsidRPr="0025484C" w14:paraId="00B3429F" w14:textId="77777777" w:rsidTr="00702498">
        <w:tc>
          <w:tcPr>
            <w:tcW w:w="2500" w:type="pct"/>
          </w:tcPr>
          <w:p w14:paraId="29D80A94" w14:textId="4E4D0016" w:rsidR="00E67CE2" w:rsidRPr="0025484C" w:rsidRDefault="006C1D5E" w:rsidP="00B45A6D">
            <w:pPr>
              <w:pStyle w:val="TableTextLeft-Arial"/>
            </w:pPr>
            <w:r w:rsidRPr="0025484C">
              <w:t>Up to 14 days</w:t>
            </w:r>
          </w:p>
        </w:tc>
        <w:tc>
          <w:tcPr>
            <w:tcW w:w="1250" w:type="pct"/>
          </w:tcPr>
          <w:p w14:paraId="601A85F0" w14:textId="610FB65D" w:rsidR="00E67CE2" w:rsidRPr="0025484C" w:rsidRDefault="00CF42DC" w:rsidP="004F7091">
            <w:pPr>
              <w:pStyle w:val="TableTextRight-Arial"/>
            </w:pPr>
            <w:r>
              <w:t>7*</w:t>
            </w:r>
          </w:p>
        </w:tc>
        <w:tc>
          <w:tcPr>
            <w:tcW w:w="1250" w:type="pct"/>
          </w:tcPr>
          <w:p w14:paraId="74912E89" w14:textId="06513B75" w:rsidR="00E67CE2" w:rsidRPr="0025484C" w:rsidRDefault="0025484C" w:rsidP="004F7091">
            <w:pPr>
              <w:pStyle w:val="TableTextRight-Arial"/>
            </w:pPr>
            <w:r w:rsidRPr="0025484C">
              <w:t>8.</w:t>
            </w:r>
            <w:r w:rsidR="00E04761">
              <w:t>4</w:t>
            </w:r>
          </w:p>
        </w:tc>
      </w:tr>
      <w:tr w:rsidR="00E67CE2" w:rsidRPr="0025484C" w14:paraId="04343B27" w14:textId="77777777" w:rsidTr="00702498">
        <w:tc>
          <w:tcPr>
            <w:tcW w:w="2500" w:type="pct"/>
          </w:tcPr>
          <w:p w14:paraId="780F832F" w14:textId="151F2E4E" w:rsidR="00E67CE2" w:rsidRPr="0025484C" w:rsidRDefault="006C1D5E" w:rsidP="00B45A6D">
            <w:pPr>
              <w:pStyle w:val="TableTextLeft-Arial"/>
            </w:pPr>
            <w:r w:rsidRPr="0025484C">
              <w:t>15 days to 31 days</w:t>
            </w:r>
          </w:p>
        </w:tc>
        <w:tc>
          <w:tcPr>
            <w:tcW w:w="1250" w:type="pct"/>
          </w:tcPr>
          <w:p w14:paraId="06288F79" w14:textId="30822C3C" w:rsidR="00E67CE2" w:rsidRPr="0025484C" w:rsidRDefault="0025484C" w:rsidP="004F7091">
            <w:pPr>
              <w:pStyle w:val="TableTextRight-Arial"/>
            </w:pPr>
            <w:r w:rsidRPr="0025484C">
              <w:t>10</w:t>
            </w:r>
          </w:p>
        </w:tc>
        <w:tc>
          <w:tcPr>
            <w:tcW w:w="1250" w:type="pct"/>
          </w:tcPr>
          <w:p w14:paraId="5D14DB77" w14:textId="6A9BA45C" w:rsidR="00E67CE2" w:rsidRPr="0025484C" w:rsidRDefault="00E67CE2" w:rsidP="004F7091">
            <w:pPr>
              <w:pStyle w:val="TableTextRight-Arial"/>
            </w:pPr>
            <w:r w:rsidRPr="0025484C">
              <w:t>2</w:t>
            </w:r>
            <w:r w:rsidR="0025484C" w:rsidRPr="0025484C">
              <w:t>2.1</w:t>
            </w:r>
          </w:p>
        </w:tc>
      </w:tr>
      <w:tr w:rsidR="00E67CE2" w:rsidRPr="0025484C" w14:paraId="1AA8C4CD" w14:textId="77777777" w:rsidTr="00702498">
        <w:tc>
          <w:tcPr>
            <w:tcW w:w="2500" w:type="pct"/>
          </w:tcPr>
          <w:p w14:paraId="61165C56" w14:textId="6E956BC5" w:rsidR="00E67CE2" w:rsidRPr="0025484C" w:rsidRDefault="006C1D5E" w:rsidP="00B45A6D">
            <w:pPr>
              <w:pStyle w:val="TableTextLeft-Arial"/>
            </w:pPr>
            <w:r w:rsidRPr="0025484C">
              <w:t>32 days to 90 days</w:t>
            </w:r>
          </w:p>
        </w:tc>
        <w:tc>
          <w:tcPr>
            <w:tcW w:w="1250" w:type="pct"/>
          </w:tcPr>
          <w:p w14:paraId="31E144E1" w14:textId="26285AEE" w:rsidR="00E67CE2" w:rsidRPr="0025484C" w:rsidRDefault="0025484C" w:rsidP="004F7091">
            <w:pPr>
              <w:pStyle w:val="TableTextRight-Arial"/>
            </w:pPr>
            <w:r w:rsidRPr="0025484C">
              <w:t>8</w:t>
            </w:r>
          </w:p>
        </w:tc>
        <w:tc>
          <w:tcPr>
            <w:tcW w:w="1250" w:type="pct"/>
          </w:tcPr>
          <w:p w14:paraId="2A1C4C53" w14:textId="0005CEAC" w:rsidR="00E67CE2" w:rsidRPr="0025484C" w:rsidRDefault="0025484C" w:rsidP="004F7091">
            <w:pPr>
              <w:pStyle w:val="TableTextRight-Arial"/>
            </w:pPr>
            <w:r w:rsidRPr="0025484C">
              <w:t>42.9</w:t>
            </w:r>
          </w:p>
        </w:tc>
      </w:tr>
      <w:tr w:rsidR="00A54583" w:rsidRPr="00D90220" w14:paraId="367A240B" w14:textId="77777777" w:rsidTr="00702498">
        <w:trPr>
          <w:cnfStyle w:val="010000000000" w:firstRow="0" w:lastRow="1" w:firstColumn="0" w:lastColumn="0" w:oddVBand="0" w:evenVBand="0" w:oddHBand="0" w:evenHBand="0" w:firstRowFirstColumn="0" w:firstRowLastColumn="0" w:lastRowFirstColumn="0" w:lastRowLastColumn="0"/>
        </w:trPr>
        <w:tc>
          <w:tcPr>
            <w:tcW w:w="2500" w:type="pct"/>
          </w:tcPr>
          <w:p w14:paraId="1FE99D52" w14:textId="5DF0D016" w:rsidR="00A54583" w:rsidRPr="0025484C" w:rsidRDefault="00A54583" w:rsidP="00FD4AEA">
            <w:pPr>
              <w:pStyle w:val="TableColumnHeadingLeft"/>
            </w:pPr>
            <w:r w:rsidRPr="0025484C">
              <w:t>Total</w:t>
            </w:r>
          </w:p>
        </w:tc>
        <w:tc>
          <w:tcPr>
            <w:tcW w:w="1250" w:type="pct"/>
          </w:tcPr>
          <w:p w14:paraId="60451DB7" w14:textId="5918D512" w:rsidR="00A54583" w:rsidRPr="0025484C" w:rsidRDefault="0025484C" w:rsidP="00FD4AEA">
            <w:pPr>
              <w:pStyle w:val="TableColumnHeadingRight"/>
            </w:pPr>
            <w:r w:rsidRPr="0025484C">
              <w:t>25</w:t>
            </w:r>
          </w:p>
        </w:tc>
        <w:tc>
          <w:tcPr>
            <w:tcW w:w="1250" w:type="pct"/>
          </w:tcPr>
          <w:p w14:paraId="5691E7E5" w14:textId="6B54E9B2" w:rsidR="00A54583" w:rsidRPr="00A54583" w:rsidRDefault="00A54583" w:rsidP="00FD4AEA">
            <w:pPr>
              <w:pStyle w:val="TableColumnHeadingRight"/>
            </w:pPr>
            <w:r w:rsidRPr="0025484C">
              <w:t>2</w:t>
            </w:r>
            <w:r w:rsidR="00E04761">
              <w:t>4.9</w:t>
            </w:r>
          </w:p>
        </w:tc>
      </w:tr>
    </w:tbl>
    <w:p w14:paraId="474E6EC6" w14:textId="38E652EA" w:rsidR="00F04DBA" w:rsidRPr="00FD4AEA" w:rsidRDefault="00CF42DC" w:rsidP="0095050F">
      <w:pPr>
        <w:pStyle w:val="ChartorTableNote"/>
      </w:pPr>
      <w:r>
        <w:t>*</w:t>
      </w:r>
      <w:r w:rsidR="002F1AA6">
        <w:t>Including</w:t>
      </w:r>
      <w:r>
        <w:t xml:space="preserve"> one withdrawn application</w:t>
      </w:r>
    </w:p>
    <w:p w14:paraId="571C6A79" w14:textId="71A3F579" w:rsidR="006555DE" w:rsidRPr="00FA270D" w:rsidRDefault="006555DE" w:rsidP="00286051">
      <w:pPr>
        <w:pStyle w:val="Heading2"/>
      </w:pPr>
      <w:bookmarkStart w:id="165" w:name="_Toc174632391"/>
      <w:r w:rsidRPr="00FA270D">
        <w:t xml:space="preserve">Issues </w:t>
      </w:r>
      <w:r w:rsidR="0088533C" w:rsidRPr="00FA270D">
        <w:t>in</w:t>
      </w:r>
      <w:r w:rsidRPr="00FA270D">
        <w:t xml:space="preserve"> </w:t>
      </w:r>
      <w:bookmarkEnd w:id="154"/>
      <w:bookmarkEnd w:id="155"/>
      <w:bookmarkEnd w:id="156"/>
      <w:bookmarkEnd w:id="157"/>
      <w:bookmarkEnd w:id="158"/>
      <w:bookmarkEnd w:id="159"/>
      <w:bookmarkEnd w:id="160"/>
      <w:bookmarkEnd w:id="161"/>
      <w:bookmarkEnd w:id="162"/>
      <w:bookmarkEnd w:id="163"/>
      <w:r w:rsidR="0088533C" w:rsidRPr="00FA270D">
        <w:t>applications</w:t>
      </w:r>
      <w:bookmarkEnd w:id="164"/>
      <w:bookmarkEnd w:id="165"/>
      <w:r w:rsidR="00F97D1D" w:rsidRPr="005A5651">
        <w:fldChar w:fldCharType="begin"/>
      </w:r>
      <w:r w:rsidR="00F97D1D" w:rsidRPr="005A5651">
        <w:instrText>xe "A</w:instrText>
      </w:r>
      <w:r w:rsidR="00F97D1D">
        <w:instrText>pplications</w:instrText>
      </w:r>
      <w:r w:rsidR="00F97D1D" w:rsidRPr="005A5651">
        <w:instrText>"</w:instrText>
      </w:r>
      <w:r w:rsidR="00F97D1D" w:rsidRPr="005A5651">
        <w:fldChar w:fldCharType="end"/>
      </w:r>
    </w:p>
    <w:p w14:paraId="571C6A7A" w14:textId="283377FD" w:rsidR="008C59E0" w:rsidRPr="00287C27" w:rsidRDefault="00CC73CE" w:rsidP="00946668">
      <w:pPr>
        <w:pStyle w:val="TableMainHeading"/>
      </w:pPr>
      <w:bookmarkStart w:id="166" w:name="_Toc459709731"/>
      <w:bookmarkStart w:id="167" w:name="_Toc146790812"/>
      <w:r w:rsidRPr="00287C27">
        <w:t>Table </w:t>
      </w:r>
      <w:r w:rsidR="00E67CE2" w:rsidRPr="00287C27">
        <w:t>5</w:t>
      </w:r>
      <w:r w:rsidR="008C59E0" w:rsidRPr="00287C27">
        <w:t xml:space="preserve">: Issues </w:t>
      </w:r>
      <w:r w:rsidR="00076B7D" w:rsidRPr="00287C27">
        <w:t>raised in applications,</w:t>
      </w:r>
      <w:r w:rsidR="008C59E0" w:rsidRPr="00287C27">
        <w:t xml:space="preserve"> 20</w:t>
      </w:r>
      <w:r w:rsidR="00CC4985" w:rsidRPr="00287C27">
        <w:t>2</w:t>
      </w:r>
      <w:bookmarkEnd w:id="166"/>
      <w:r w:rsidR="004233EB" w:rsidRPr="00287C27">
        <w:t>3</w:t>
      </w:r>
      <w:r w:rsidR="00550FAF" w:rsidRPr="00287C27">
        <w:t>–</w:t>
      </w:r>
      <w:r w:rsidR="0030123B" w:rsidRPr="00287C27">
        <w:t>2</w:t>
      </w:r>
      <w:bookmarkEnd w:id="167"/>
      <w:r w:rsidR="004233EB" w:rsidRPr="00287C27">
        <w:t>4</w:t>
      </w:r>
    </w:p>
    <w:tbl>
      <w:tblPr>
        <w:tblStyle w:val="TP-ARtotal"/>
        <w:tblW w:w="5000" w:type="pct"/>
        <w:tblLook w:val="06E0" w:firstRow="1" w:lastRow="1" w:firstColumn="1" w:lastColumn="0" w:noHBand="1" w:noVBand="1"/>
      </w:tblPr>
      <w:tblGrid>
        <w:gridCol w:w="1841"/>
        <w:gridCol w:w="1134"/>
        <w:gridCol w:w="4736"/>
      </w:tblGrid>
      <w:tr w:rsidR="002A5F77" w:rsidRPr="00ED58E4" w14:paraId="571C6A7E" w14:textId="77777777" w:rsidTr="006538EB">
        <w:trPr>
          <w:cnfStyle w:val="100000000000" w:firstRow="1" w:lastRow="0" w:firstColumn="0" w:lastColumn="0" w:oddVBand="0" w:evenVBand="0" w:oddHBand="0" w:evenHBand="0" w:firstRowFirstColumn="0" w:firstRowLastColumn="0" w:lastRowFirstColumn="0" w:lastRowLastColumn="0"/>
        </w:trPr>
        <w:tc>
          <w:tcPr>
            <w:tcW w:w="1194" w:type="pct"/>
          </w:tcPr>
          <w:p w14:paraId="571C6A7B" w14:textId="77777777" w:rsidR="002A5F77" w:rsidRPr="00ED58E4" w:rsidRDefault="002A5F77" w:rsidP="00FD4AEA">
            <w:pPr>
              <w:pStyle w:val="TableColumnHeadingLeft"/>
            </w:pPr>
            <w:r w:rsidRPr="00ED58E4">
              <w:t>Issue</w:t>
            </w:r>
          </w:p>
        </w:tc>
        <w:tc>
          <w:tcPr>
            <w:tcW w:w="735" w:type="pct"/>
          </w:tcPr>
          <w:p w14:paraId="571C6A7C" w14:textId="77777777" w:rsidR="002A5F77" w:rsidRPr="00ED58E4" w:rsidRDefault="00C250E9" w:rsidP="00FD4AEA">
            <w:pPr>
              <w:pStyle w:val="TableColumnHeadingRight"/>
            </w:pPr>
            <w:r w:rsidRPr="00ED58E4">
              <w:t>Number</w:t>
            </w:r>
            <w:r w:rsidRPr="00ED58E4">
              <w:br/>
            </w:r>
            <w:r w:rsidR="002A5F77" w:rsidRPr="00ED58E4">
              <w:t>of matters</w:t>
            </w:r>
          </w:p>
        </w:tc>
        <w:tc>
          <w:tcPr>
            <w:tcW w:w="3070" w:type="pct"/>
          </w:tcPr>
          <w:p w14:paraId="571C6A7D" w14:textId="77777777" w:rsidR="002A5F77" w:rsidRPr="00ED58E4" w:rsidRDefault="002A5F77" w:rsidP="00FD4AEA">
            <w:pPr>
              <w:pStyle w:val="TableColumnHeadingLeft"/>
            </w:pPr>
            <w:r w:rsidRPr="00ED58E4">
              <w:t>Name of case</w:t>
            </w:r>
          </w:p>
        </w:tc>
      </w:tr>
      <w:tr w:rsidR="00485A1C" w:rsidRPr="00ED58E4" w14:paraId="571C6A82" w14:textId="77777777" w:rsidTr="006538EB">
        <w:tc>
          <w:tcPr>
            <w:tcW w:w="1194" w:type="pct"/>
          </w:tcPr>
          <w:p w14:paraId="571C6A7F" w14:textId="3089FF9E" w:rsidR="00485A1C" w:rsidRPr="00ED58E4" w:rsidRDefault="00657971" w:rsidP="00FD4AEA">
            <w:pPr>
              <w:pStyle w:val="TableTextLeft-Arial"/>
            </w:pPr>
            <w:r w:rsidRPr="00ED58E4">
              <w:t>Association/</w:t>
            </w:r>
            <w:r w:rsidRPr="00ED58E4">
              <w:br/>
              <w:t>breach of s606</w:t>
            </w:r>
          </w:p>
        </w:tc>
        <w:tc>
          <w:tcPr>
            <w:tcW w:w="735" w:type="pct"/>
          </w:tcPr>
          <w:p w14:paraId="571C6A80" w14:textId="1E339FE2" w:rsidR="00485A1C" w:rsidRPr="00ED58E4" w:rsidRDefault="00ED58E4" w:rsidP="004F7091">
            <w:pPr>
              <w:pStyle w:val="TableTextRight-Arial"/>
              <w:rPr>
                <w:bCs w:val="0"/>
              </w:rPr>
            </w:pPr>
            <w:r w:rsidRPr="00ED58E4">
              <w:rPr>
                <w:bCs w:val="0"/>
              </w:rPr>
              <w:t>1</w:t>
            </w:r>
            <w:r w:rsidR="001B0C59">
              <w:rPr>
                <w:bCs w:val="0"/>
              </w:rPr>
              <w:t>1</w:t>
            </w:r>
          </w:p>
        </w:tc>
        <w:tc>
          <w:tcPr>
            <w:tcW w:w="3070" w:type="pct"/>
          </w:tcPr>
          <w:p w14:paraId="571C6A81" w14:textId="2DD5CE2A" w:rsidR="00485A1C" w:rsidRPr="00ED58E4" w:rsidRDefault="00ED58E4" w:rsidP="00FD4AEA">
            <w:pPr>
              <w:pStyle w:val="TableTextLeft-Arial"/>
            </w:pPr>
            <w:r w:rsidRPr="00ED58E4">
              <w:t>Benjamin Hornigold L</w:t>
            </w:r>
            <w:r>
              <w:t>imited</w:t>
            </w:r>
            <w:r w:rsidRPr="00ED58E4">
              <w:t xml:space="preserve"> 12</w:t>
            </w:r>
            <w:r>
              <w:t xml:space="preserve">, </w:t>
            </w:r>
            <w:r w:rsidR="00685DCD">
              <w:t>Bullseye Mining Limited 06 (in part)</w:t>
            </w:r>
            <w:r w:rsidR="00E32972">
              <w:t>,</w:t>
            </w:r>
            <w:r w:rsidR="00685DCD">
              <w:t xml:space="preserve"> </w:t>
            </w:r>
            <w:r w:rsidRPr="00ED58E4">
              <w:t>Southern Cross Media Group Limited</w:t>
            </w:r>
            <w:r>
              <w:t xml:space="preserve">, </w:t>
            </w:r>
            <w:r w:rsidRPr="00ED58E4">
              <w:t>Southern Cross Media Group Limited</w:t>
            </w:r>
            <w:r>
              <w:t xml:space="preserve"> 02R, </w:t>
            </w:r>
            <w:r w:rsidRPr="00ED58E4">
              <w:t>Southern Cross Media Group Limited</w:t>
            </w:r>
            <w:r>
              <w:t xml:space="preserve"> 03R, </w:t>
            </w:r>
            <w:r w:rsidRPr="00ED58E4">
              <w:t>Ignite Limited</w:t>
            </w:r>
            <w:r>
              <w:t xml:space="preserve">, </w:t>
            </w:r>
            <w:r w:rsidRPr="00ED58E4">
              <w:t>Ringers Western Limited</w:t>
            </w:r>
            <w:r>
              <w:t xml:space="preserve">, </w:t>
            </w:r>
            <w:r w:rsidRPr="00ED58E4">
              <w:t>Mount Isa Minerals Limited</w:t>
            </w:r>
            <w:r>
              <w:t xml:space="preserve">, </w:t>
            </w:r>
            <w:r w:rsidRPr="00ED58E4">
              <w:t xml:space="preserve">Sequoia Financial Group </w:t>
            </w:r>
            <w:r w:rsidR="00287C27">
              <w:t>Limited</w:t>
            </w:r>
            <w:r>
              <w:t xml:space="preserve">, </w:t>
            </w:r>
            <w:r w:rsidRPr="00ED58E4">
              <w:t>Sierra Rutile Holdings Limited</w:t>
            </w:r>
            <w:r>
              <w:t xml:space="preserve">, </w:t>
            </w:r>
            <w:r w:rsidR="001B0C59">
              <w:t xml:space="preserve">Locality Planning Energy Holdings Limited (in part), </w:t>
            </w:r>
            <w:r w:rsidRPr="00ED58E4">
              <w:t>Ringers Western Limited 02R</w:t>
            </w:r>
          </w:p>
        </w:tc>
      </w:tr>
      <w:tr w:rsidR="005627B6" w:rsidRPr="00ED58E4" w14:paraId="4EAE6098" w14:textId="77777777" w:rsidTr="006538EB">
        <w:tc>
          <w:tcPr>
            <w:tcW w:w="1194" w:type="pct"/>
          </w:tcPr>
          <w:p w14:paraId="00118D9C" w14:textId="0DFA06D3" w:rsidR="005627B6" w:rsidRPr="00ED58E4" w:rsidRDefault="005627B6" w:rsidP="00FD4AEA">
            <w:pPr>
              <w:pStyle w:val="TableTextLeft-Arial"/>
            </w:pPr>
            <w:r w:rsidRPr="00ED58E4">
              <w:t>Rights issues</w:t>
            </w:r>
            <w:r w:rsidR="00685DCD">
              <w:t xml:space="preserve"> and placements</w:t>
            </w:r>
          </w:p>
        </w:tc>
        <w:tc>
          <w:tcPr>
            <w:tcW w:w="735" w:type="pct"/>
          </w:tcPr>
          <w:p w14:paraId="3C72498D" w14:textId="693BD33E" w:rsidR="005627B6" w:rsidRPr="00ED58E4" w:rsidRDefault="00685DCD" w:rsidP="004F7091">
            <w:pPr>
              <w:pStyle w:val="TableTextRight-Arial"/>
              <w:rPr>
                <w:bCs w:val="0"/>
              </w:rPr>
            </w:pPr>
            <w:r>
              <w:rPr>
                <w:bCs w:val="0"/>
              </w:rPr>
              <w:t>6</w:t>
            </w:r>
          </w:p>
        </w:tc>
        <w:tc>
          <w:tcPr>
            <w:tcW w:w="3070" w:type="pct"/>
          </w:tcPr>
          <w:p w14:paraId="077C82B0" w14:textId="564FBB24" w:rsidR="005627B6" w:rsidRPr="00ED58E4" w:rsidRDefault="00685DCD" w:rsidP="00FD4AEA">
            <w:pPr>
              <w:pStyle w:val="TableTextLeft-Arial"/>
            </w:pPr>
            <w:r w:rsidRPr="00685DCD">
              <w:t>Tempus Resources Limited</w:t>
            </w:r>
            <w:r>
              <w:t xml:space="preserve">, </w:t>
            </w:r>
            <w:r w:rsidRPr="00685DCD">
              <w:t>Tempus Resources Limited 02R</w:t>
            </w:r>
            <w:r>
              <w:t xml:space="preserve">, </w:t>
            </w:r>
            <w:r w:rsidRPr="00685DCD">
              <w:t>Vintage Energy Limited</w:t>
            </w:r>
            <w:r>
              <w:t xml:space="preserve">, </w:t>
            </w:r>
            <w:r w:rsidRPr="00685DCD">
              <w:t>Vintage Energy Limited 02R</w:t>
            </w:r>
            <w:r>
              <w:t xml:space="preserve">, </w:t>
            </w:r>
            <w:r w:rsidRPr="00685DCD">
              <w:t>Maronan Metals Limited</w:t>
            </w:r>
            <w:r>
              <w:t xml:space="preserve">, </w:t>
            </w:r>
            <w:r w:rsidRPr="00685DCD">
              <w:t>Energy Resources of Australia Limited 03</w:t>
            </w:r>
          </w:p>
        </w:tc>
      </w:tr>
      <w:tr w:rsidR="00685DCD" w:rsidRPr="00ED58E4" w14:paraId="11DEB06E" w14:textId="77777777" w:rsidTr="006538EB">
        <w:tc>
          <w:tcPr>
            <w:tcW w:w="1194" w:type="pct"/>
          </w:tcPr>
          <w:p w14:paraId="3D3F8165" w14:textId="6C49073C" w:rsidR="00685DCD" w:rsidRPr="00ED58E4" w:rsidRDefault="00685DCD" w:rsidP="00FD4AEA">
            <w:pPr>
              <w:pStyle w:val="TableTextLeft-Arial"/>
            </w:pPr>
            <w:r>
              <w:t>Equity Derivatives</w:t>
            </w:r>
          </w:p>
        </w:tc>
        <w:tc>
          <w:tcPr>
            <w:tcW w:w="735" w:type="pct"/>
          </w:tcPr>
          <w:p w14:paraId="4853C680" w14:textId="5A2BEC6B" w:rsidR="00685DCD" w:rsidRDefault="00685DCD" w:rsidP="004F7091">
            <w:pPr>
              <w:pStyle w:val="TableTextRight-Arial"/>
              <w:rPr>
                <w:bCs w:val="0"/>
              </w:rPr>
            </w:pPr>
            <w:r>
              <w:rPr>
                <w:bCs w:val="0"/>
              </w:rPr>
              <w:t>3</w:t>
            </w:r>
          </w:p>
        </w:tc>
        <w:tc>
          <w:tcPr>
            <w:tcW w:w="3070" w:type="pct"/>
          </w:tcPr>
          <w:p w14:paraId="50F2E8ED" w14:textId="555E6D42" w:rsidR="00685DCD" w:rsidRPr="00685DCD" w:rsidRDefault="00685DCD" w:rsidP="00FD4AEA">
            <w:pPr>
              <w:pStyle w:val="TableTextLeft-Arial"/>
            </w:pPr>
            <w:r>
              <w:t>Whitehaven Coal Limited, Whitehaven Coal Limited 02</w:t>
            </w:r>
            <w:r w:rsidR="00287C27">
              <w:t>R</w:t>
            </w:r>
            <w:r>
              <w:t>, Pacific Smiles Group Limited</w:t>
            </w:r>
          </w:p>
        </w:tc>
      </w:tr>
      <w:tr w:rsidR="00685DCD" w:rsidRPr="00ED58E4" w14:paraId="3DD69C4D" w14:textId="77777777" w:rsidTr="006538EB">
        <w:tc>
          <w:tcPr>
            <w:tcW w:w="1194" w:type="pct"/>
          </w:tcPr>
          <w:p w14:paraId="0F6489E4" w14:textId="1664171B" w:rsidR="00685DCD" w:rsidRDefault="00685DCD" w:rsidP="00FD4AEA">
            <w:pPr>
              <w:pStyle w:val="TableTextLeft-Arial"/>
            </w:pPr>
            <w:r>
              <w:t>Deal protection and standstills</w:t>
            </w:r>
          </w:p>
        </w:tc>
        <w:tc>
          <w:tcPr>
            <w:tcW w:w="735" w:type="pct"/>
          </w:tcPr>
          <w:p w14:paraId="1F0A9D03" w14:textId="2D21262A" w:rsidR="00685DCD" w:rsidRDefault="006538EB" w:rsidP="004F7091">
            <w:pPr>
              <w:pStyle w:val="TableTextRight-Arial"/>
              <w:rPr>
                <w:bCs w:val="0"/>
              </w:rPr>
            </w:pPr>
            <w:r>
              <w:rPr>
                <w:bCs w:val="0"/>
              </w:rPr>
              <w:t>2</w:t>
            </w:r>
          </w:p>
        </w:tc>
        <w:tc>
          <w:tcPr>
            <w:tcW w:w="3070" w:type="pct"/>
          </w:tcPr>
          <w:p w14:paraId="753643DE" w14:textId="70CF6686" w:rsidR="00685DCD" w:rsidRDefault="00685DCD" w:rsidP="00FD4AEA">
            <w:pPr>
              <w:pStyle w:val="TableTextLeft-Arial"/>
            </w:pPr>
            <w:r>
              <w:t>Metallica Minerals Limited, Westgold Resources Limited</w:t>
            </w:r>
          </w:p>
        </w:tc>
      </w:tr>
      <w:tr w:rsidR="00485A1C" w:rsidRPr="00ED58E4" w14:paraId="571C6A86" w14:textId="77777777" w:rsidTr="006538EB">
        <w:tc>
          <w:tcPr>
            <w:tcW w:w="1194" w:type="pct"/>
          </w:tcPr>
          <w:p w14:paraId="571C6A83" w14:textId="1C8B7542" w:rsidR="00485A1C" w:rsidRPr="00ED58E4" w:rsidRDefault="006538EB" w:rsidP="00FD4AEA">
            <w:pPr>
              <w:pStyle w:val="TableTextLeft-Arial"/>
            </w:pPr>
            <w:r>
              <w:t>Others</w:t>
            </w:r>
          </w:p>
        </w:tc>
        <w:tc>
          <w:tcPr>
            <w:tcW w:w="735" w:type="pct"/>
          </w:tcPr>
          <w:p w14:paraId="571C6A84" w14:textId="49961FBA" w:rsidR="00485A1C" w:rsidRPr="00ED58E4" w:rsidRDefault="006538EB" w:rsidP="004F7091">
            <w:pPr>
              <w:pStyle w:val="TableTextRight-Arial"/>
              <w:rPr>
                <w:bCs w:val="0"/>
              </w:rPr>
            </w:pPr>
            <w:r>
              <w:rPr>
                <w:bCs w:val="0"/>
              </w:rPr>
              <w:t>3</w:t>
            </w:r>
          </w:p>
        </w:tc>
        <w:tc>
          <w:tcPr>
            <w:tcW w:w="3070" w:type="pct"/>
          </w:tcPr>
          <w:p w14:paraId="571C6A85" w14:textId="45DD6950" w:rsidR="00485A1C" w:rsidRPr="00ED58E4" w:rsidRDefault="006538EB" w:rsidP="00FD4AEA">
            <w:pPr>
              <w:pStyle w:val="TableTextLeft-Arial"/>
            </w:pPr>
            <w:r>
              <w:t>Mighty Kingdom</w:t>
            </w:r>
            <w:r w:rsidR="00287C27">
              <w:t xml:space="preserve"> Limited</w:t>
            </w:r>
            <w:r>
              <w:t xml:space="preserve"> (item 7 approval), Pact Group Holdings Limited (bidder conduct), Locality Planning Energy Holdings Limited (</w:t>
            </w:r>
            <w:r w:rsidR="001B0C59">
              <w:t xml:space="preserve">in part, </w:t>
            </w:r>
            <w:r w:rsidR="00602C3C">
              <w:t>target</w:t>
            </w:r>
            <w:r>
              <w:t xml:space="preserve"> conduct), Bullseye Mining Limited 06 (in part, collateral benefits)</w:t>
            </w:r>
          </w:p>
        </w:tc>
      </w:tr>
      <w:tr w:rsidR="00AB47F9" w:rsidRPr="00ED58E4" w14:paraId="571C6A9A" w14:textId="77777777" w:rsidTr="006538EB">
        <w:trPr>
          <w:cnfStyle w:val="010000000000" w:firstRow="0" w:lastRow="1" w:firstColumn="0" w:lastColumn="0" w:oddVBand="0" w:evenVBand="0" w:oddHBand="0" w:evenHBand="0" w:firstRowFirstColumn="0" w:firstRowLastColumn="0" w:lastRowFirstColumn="0" w:lastRowLastColumn="0"/>
        </w:trPr>
        <w:tc>
          <w:tcPr>
            <w:tcW w:w="1194" w:type="pct"/>
          </w:tcPr>
          <w:p w14:paraId="571C6A97" w14:textId="77777777" w:rsidR="00AB47F9" w:rsidRPr="00ED58E4" w:rsidRDefault="00AB47F9" w:rsidP="00FD4AEA">
            <w:pPr>
              <w:pStyle w:val="TableColumnHeadingLeft"/>
            </w:pPr>
            <w:r w:rsidRPr="00ED58E4">
              <w:t>Total</w:t>
            </w:r>
          </w:p>
        </w:tc>
        <w:tc>
          <w:tcPr>
            <w:tcW w:w="735" w:type="pct"/>
          </w:tcPr>
          <w:p w14:paraId="571C6A98" w14:textId="32DA3DE9" w:rsidR="00AB47F9" w:rsidRPr="00ED58E4" w:rsidRDefault="006538EB" w:rsidP="00FD4AEA">
            <w:pPr>
              <w:pStyle w:val="TableColumnHeadingRight"/>
            </w:pPr>
            <w:r>
              <w:t>25</w:t>
            </w:r>
          </w:p>
        </w:tc>
        <w:tc>
          <w:tcPr>
            <w:tcW w:w="3070" w:type="pct"/>
          </w:tcPr>
          <w:p w14:paraId="571C6A99" w14:textId="77777777" w:rsidR="00AB47F9" w:rsidRPr="00ED58E4" w:rsidRDefault="00AB47F9" w:rsidP="00FD4AEA">
            <w:pPr>
              <w:pStyle w:val="TableColumnHeadingLeft"/>
            </w:pPr>
          </w:p>
        </w:tc>
      </w:tr>
    </w:tbl>
    <w:p w14:paraId="571C6A9B" w14:textId="65FBE0FF" w:rsidR="005B7A24" w:rsidRPr="00E93D87" w:rsidRDefault="005B7A24" w:rsidP="0095050F">
      <w:pPr>
        <w:pStyle w:val="ChartorTableNote"/>
        <w:ind w:left="567" w:hanging="567"/>
      </w:pPr>
      <w:bookmarkStart w:id="168" w:name="_Toc204589455"/>
      <w:bookmarkStart w:id="169" w:name="_Toc204590139"/>
      <w:bookmarkStart w:id="170" w:name="_Toc204591224"/>
      <w:bookmarkStart w:id="171" w:name="_Toc204591283"/>
      <w:bookmarkStart w:id="172" w:name="_Toc204591397"/>
      <w:bookmarkStart w:id="173" w:name="_Toc207163417"/>
      <w:bookmarkStart w:id="174" w:name="_Toc332277167"/>
      <w:bookmarkStart w:id="175" w:name="_Toc362608080"/>
      <w:bookmarkStart w:id="176" w:name="_Toc113248331"/>
      <w:bookmarkStart w:id="177" w:name="_Toc148348460"/>
      <w:bookmarkStart w:id="178" w:name="_Toc177204250"/>
      <w:r w:rsidRPr="00ED58E4">
        <w:t xml:space="preserve">Note: </w:t>
      </w:r>
      <w:r w:rsidR="0095050F">
        <w:tab/>
      </w:r>
      <w:r w:rsidRPr="00ED58E4">
        <w:t>the table captures the main basis for an application (</w:t>
      </w:r>
      <w:r w:rsidR="000F70C5" w:rsidRPr="00ED58E4">
        <w:t xml:space="preserve">or </w:t>
      </w:r>
      <w:r w:rsidRPr="00ED58E4">
        <w:t xml:space="preserve">if there are two they are shown as </w:t>
      </w:r>
      <w:r w:rsidR="008941F8">
        <w:t>‘</w:t>
      </w:r>
      <w:r w:rsidRPr="00ED58E4">
        <w:t>in part</w:t>
      </w:r>
      <w:r w:rsidR="008941F8">
        <w:t>’</w:t>
      </w:r>
      <w:r w:rsidR="00300003" w:rsidRPr="00ED58E4">
        <w:t xml:space="preserve"> and</w:t>
      </w:r>
      <w:r w:rsidR="00F47D7A" w:rsidRPr="00ED58E4">
        <w:t xml:space="preserve"> </w:t>
      </w:r>
      <w:r w:rsidRPr="00ED58E4">
        <w:t>contribute to half scores</w:t>
      </w:r>
      <w:r w:rsidR="00E72EF9" w:rsidRPr="00ED58E4">
        <w:t>)</w:t>
      </w:r>
      <w:r w:rsidR="00EC7B50" w:rsidRPr="00ED58E4">
        <w:t xml:space="preserve"> in the view of the Panel executive</w:t>
      </w:r>
      <w:r w:rsidRPr="00ED58E4">
        <w:t>.</w:t>
      </w:r>
    </w:p>
    <w:p w14:paraId="04860735" w14:textId="77777777" w:rsidR="00B077F8" w:rsidRPr="008715D6" w:rsidRDefault="00B077F8" w:rsidP="008715D6">
      <w:r w:rsidRPr="008715D6">
        <w:br w:type="page"/>
      </w:r>
    </w:p>
    <w:p w14:paraId="571C6A9D" w14:textId="0442CDFC" w:rsidR="00FC5FFA" w:rsidRDefault="00FC5FFA" w:rsidP="00286051">
      <w:pPr>
        <w:pStyle w:val="Heading2"/>
      </w:pPr>
      <w:bookmarkStart w:id="179" w:name="_Toc174632392"/>
      <w:r>
        <w:lastRenderedPageBreak/>
        <w:t>Ensuring consistency</w:t>
      </w:r>
      <w:bookmarkEnd w:id="179"/>
    </w:p>
    <w:p w14:paraId="571C6A9E" w14:textId="00489C4C" w:rsidR="00FC5FFA" w:rsidRPr="00D32D52" w:rsidRDefault="00FC5FFA" w:rsidP="00C250E9">
      <w:pPr>
        <w:spacing w:after="200"/>
      </w:pPr>
      <w:r w:rsidRPr="00D32D52">
        <w:t xml:space="preserve">The Panel holds </w:t>
      </w:r>
      <w:r>
        <w:t xml:space="preserve">meetings of all its </w:t>
      </w:r>
      <w:r w:rsidRPr="00CF42DC">
        <w:t>members</w:t>
      </w:r>
      <w:r w:rsidR="004B1E6C" w:rsidRPr="00CF42DC">
        <w:t xml:space="preserve"> </w:t>
      </w:r>
      <w:r w:rsidR="00545F11" w:rsidRPr="00CF42DC">
        <w:t xml:space="preserve">at least </w:t>
      </w:r>
      <w:r w:rsidR="004B1E6C" w:rsidRPr="00CF42DC">
        <w:t>t</w:t>
      </w:r>
      <w:r w:rsidR="006467D2" w:rsidRPr="00CF42DC">
        <w:t>hree</w:t>
      </w:r>
      <w:r w:rsidR="004B1E6C" w:rsidRPr="00CF42DC">
        <w:t xml:space="preserve"> times</w:t>
      </w:r>
      <w:r w:rsidRPr="00CF42DC">
        <w:t xml:space="preserve"> each year</w:t>
      </w:r>
      <w:r w:rsidR="00CF42DC" w:rsidRPr="00CF42DC">
        <w:rPr>
          <w:rStyle w:val="FootnoteReference"/>
        </w:rPr>
        <w:footnoteReference w:id="22"/>
      </w:r>
      <w:r w:rsidRPr="00CF42DC">
        <w:t xml:space="preserve">. </w:t>
      </w:r>
      <w:r w:rsidR="007C507F" w:rsidRPr="00CF42DC">
        <w:t>T</w:t>
      </w:r>
      <w:r w:rsidRPr="00CF42DC">
        <w:t>hese</w:t>
      </w:r>
      <w:r w:rsidRPr="00D32D52">
        <w:t xml:space="preserve"> sessions are a</w:t>
      </w:r>
      <w:r>
        <w:t xml:space="preserve"> valuable</w:t>
      </w:r>
      <w:r w:rsidRPr="00D32D52">
        <w:t xml:space="preserve"> opportunity for them to get together and discuss past proceedings, policy issues and market developments.</w:t>
      </w:r>
    </w:p>
    <w:p w14:paraId="571C6A9F" w14:textId="2C0D23E0" w:rsidR="00795720" w:rsidRDefault="00FC5FFA" w:rsidP="00C250E9">
      <w:pPr>
        <w:spacing w:after="200"/>
      </w:pPr>
      <w:r w:rsidRPr="00D32D52">
        <w:t>Panel members</w:t>
      </w:r>
      <w:r w:rsidR="008941F8">
        <w:t>’</w:t>
      </w:r>
      <w:r w:rsidRPr="00D32D52">
        <w:t xml:space="preserve"> firms host the</w:t>
      </w:r>
      <w:r>
        <w:t xml:space="preserve">se meetings, as well as </w:t>
      </w:r>
      <w:r w:rsidRPr="00D32D52">
        <w:t xml:space="preserve">allow </w:t>
      </w:r>
      <w:r w:rsidR="007C507F">
        <w:t xml:space="preserve">members </w:t>
      </w:r>
      <w:r w:rsidRPr="00D32D52">
        <w:t>time</w:t>
      </w:r>
      <w:r w:rsidR="007C507F">
        <w:t xml:space="preserve"> to attend</w:t>
      </w:r>
      <w:r>
        <w:t>,</w:t>
      </w:r>
      <w:r w:rsidRPr="00D32D52">
        <w:t xml:space="preserve"> </w:t>
      </w:r>
      <w:r>
        <w:t>and t</w:t>
      </w:r>
      <w:r w:rsidRPr="00D32D52">
        <w:t>he Panel appreciates this support</w:t>
      </w:r>
      <w:r>
        <w:t>.</w:t>
      </w:r>
    </w:p>
    <w:p w14:paraId="5D9FF790" w14:textId="4559545D" w:rsidR="0073723F" w:rsidRDefault="00795720" w:rsidP="0073723F">
      <w:pPr>
        <w:rPr>
          <w:rFonts w:ascii="Arial" w:hAnsi="Arial"/>
          <w:b/>
          <w:noProof/>
          <w:sz w:val="16"/>
          <w:lang w:eastAsia="en-AU"/>
        </w:rPr>
      </w:pPr>
      <w:r w:rsidRPr="00CF42DC">
        <w:t>The executive has issued an in</w:t>
      </w:r>
      <w:r w:rsidR="00200C78" w:rsidRPr="00CF42DC">
        <w:t>dex of Panel decisions from 200</w:t>
      </w:r>
      <w:r w:rsidR="00D6035E" w:rsidRPr="00CF42DC">
        <w:t>0</w:t>
      </w:r>
      <w:r w:rsidR="001021F8" w:rsidRPr="00CF42DC">
        <w:t xml:space="preserve"> to 30 June 2</w:t>
      </w:r>
      <w:r w:rsidRPr="00CF42DC">
        <w:t>01</w:t>
      </w:r>
      <w:r w:rsidR="00287C27">
        <w:t xml:space="preserve">9 and is in the process of updating this index. </w:t>
      </w:r>
    </w:p>
    <w:p w14:paraId="571C6AA1" w14:textId="2B0FC143" w:rsidR="00E90F47" w:rsidRPr="00AD02A4" w:rsidRDefault="006555DE" w:rsidP="00286051">
      <w:pPr>
        <w:pStyle w:val="Heading2"/>
      </w:pPr>
      <w:bookmarkStart w:id="180" w:name="_Toc174632393"/>
      <w:r w:rsidRPr="00AD02A4">
        <w:t>Guidance</w:t>
      </w:r>
      <w:bookmarkEnd w:id="168"/>
      <w:bookmarkEnd w:id="169"/>
      <w:bookmarkEnd w:id="170"/>
      <w:bookmarkEnd w:id="171"/>
      <w:bookmarkEnd w:id="172"/>
      <w:bookmarkEnd w:id="173"/>
      <w:bookmarkEnd w:id="174"/>
      <w:bookmarkEnd w:id="175"/>
      <w:bookmarkEnd w:id="180"/>
      <w:r w:rsidR="00F97D1D" w:rsidRPr="00AD02A4">
        <w:fldChar w:fldCharType="begin"/>
      </w:r>
      <w:r w:rsidR="00F97D1D" w:rsidRPr="00AD02A4">
        <w:instrText>xe "Guidance"</w:instrText>
      </w:r>
      <w:r w:rsidR="00F97D1D" w:rsidRPr="00AD02A4">
        <w:fldChar w:fldCharType="end"/>
      </w:r>
    </w:p>
    <w:p w14:paraId="4E180E7D" w14:textId="2A288B78" w:rsidR="00CF4E7A" w:rsidRDefault="000E5D2C" w:rsidP="00CF4E7A">
      <w:r w:rsidRPr="0041475C">
        <w:t xml:space="preserve">The Panel publishes Guidance Notes to assist the market in relation to takeovers matters and to assist Panel members </w:t>
      </w:r>
      <w:r w:rsidR="00A2003A" w:rsidRPr="0041475C">
        <w:t>mak</w:t>
      </w:r>
      <w:r w:rsidR="00D23442" w:rsidRPr="0041475C">
        <w:t>e</w:t>
      </w:r>
      <w:r w:rsidRPr="0041475C">
        <w:t xml:space="preserve"> consistent decisions</w:t>
      </w:r>
      <w:r w:rsidR="006B6647" w:rsidRPr="0041475C">
        <w:t>.</w:t>
      </w:r>
      <w:r w:rsidR="00482E35" w:rsidRPr="0041475C">
        <w:t xml:space="preserve"> </w:t>
      </w:r>
    </w:p>
    <w:p w14:paraId="571C6AAE" w14:textId="0F5868DC" w:rsidR="0088533C" w:rsidRPr="00AD02A4" w:rsidRDefault="0088533C" w:rsidP="00106449">
      <w:pPr>
        <w:rPr>
          <w:highlight w:val="yellow"/>
        </w:rPr>
      </w:pPr>
      <w:r w:rsidRPr="00AD02A4">
        <w:t>Guidance Notes are generally developed by sub</w:t>
      </w:r>
      <w:r w:rsidR="008941F8">
        <w:noBreakHyphen/>
      </w:r>
      <w:r w:rsidRPr="00AD02A4">
        <w:t>committees of Panel</w:t>
      </w:r>
      <w:r w:rsidR="00C67BC3">
        <w:t xml:space="preserve"> members</w:t>
      </w:r>
      <w:r w:rsidR="00CD2FE5">
        <w:t xml:space="preserve">. </w:t>
      </w:r>
      <w:r w:rsidR="00C67BC3">
        <w:t>Sometimes</w:t>
      </w:r>
      <w:r w:rsidRPr="00AD02A4">
        <w:t xml:space="preserve"> </w:t>
      </w:r>
      <w:r w:rsidR="00C67BC3">
        <w:t>other market participants are invited to be sub</w:t>
      </w:r>
      <w:r w:rsidR="008941F8">
        <w:noBreakHyphen/>
      </w:r>
      <w:r w:rsidR="00C67BC3">
        <w:t>committee members</w:t>
      </w:r>
      <w:r w:rsidRPr="00AD02A4">
        <w:t>.</w:t>
      </w:r>
      <w:r w:rsidR="00E67461">
        <w:t xml:space="preserve"> </w:t>
      </w:r>
      <w:r w:rsidR="00CC73CE">
        <w:t>Appendix </w:t>
      </w:r>
      <w:r w:rsidR="00E67461" w:rsidRPr="00AD02A4">
        <w:t>2 lists sub</w:t>
      </w:r>
      <w:r w:rsidR="008941F8">
        <w:noBreakHyphen/>
      </w:r>
      <w:r w:rsidR="00E67461" w:rsidRPr="00AD02A4">
        <w:t>committee members. The Panel thanks them for their contributions.</w:t>
      </w:r>
    </w:p>
    <w:p w14:paraId="571C6AAF" w14:textId="40E59DDB" w:rsidR="00A66BCF" w:rsidRPr="00AD02A4" w:rsidRDefault="00A66BCF" w:rsidP="00286051">
      <w:pPr>
        <w:pStyle w:val="Heading2"/>
      </w:pPr>
      <w:bookmarkStart w:id="181" w:name="_Toc362608081"/>
      <w:bookmarkStart w:id="182" w:name="_Toc174632394"/>
      <w:bookmarkStart w:id="183" w:name="_Toc204591228"/>
      <w:bookmarkStart w:id="184" w:name="_Toc204591287"/>
      <w:bookmarkStart w:id="185" w:name="_Toc143338235"/>
      <w:bookmarkStart w:id="186" w:name="_Toc143340301"/>
      <w:bookmarkStart w:id="187" w:name="_Toc143418675"/>
      <w:bookmarkStart w:id="188" w:name="_Toc143420184"/>
      <w:bookmarkStart w:id="189" w:name="_Toc177204258"/>
      <w:bookmarkStart w:id="190" w:name="_Toc204589463"/>
      <w:bookmarkStart w:id="191" w:name="_Toc204589537"/>
      <w:bookmarkStart w:id="192" w:name="_Toc204590143"/>
      <w:bookmarkStart w:id="193" w:name="_Toc204591401"/>
      <w:bookmarkStart w:id="194" w:name="_Toc207163418"/>
      <w:bookmarkEnd w:id="176"/>
      <w:bookmarkEnd w:id="177"/>
      <w:bookmarkEnd w:id="178"/>
      <w:r w:rsidRPr="00AD02A4">
        <w:t>Consultation</w:t>
      </w:r>
      <w:bookmarkEnd w:id="181"/>
      <w:bookmarkEnd w:id="182"/>
    </w:p>
    <w:p w14:paraId="571C6AB0" w14:textId="06E8A85B" w:rsidR="00300003" w:rsidRDefault="000A0159" w:rsidP="00106449">
      <w:r>
        <w:t>In addition to post matter reviews (see below), t</w:t>
      </w:r>
      <w:r w:rsidR="00A66BCF" w:rsidRPr="000A0159">
        <w:t xml:space="preserve">he Panel undertakes </w:t>
      </w:r>
      <w:r w:rsidR="00E92D61">
        <w:t xml:space="preserve">public </w:t>
      </w:r>
      <w:r w:rsidR="00A66BCF" w:rsidRPr="000A0159">
        <w:t>consultation</w:t>
      </w:r>
      <w:r>
        <w:t xml:space="preserve"> </w:t>
      </w:r>
      <w:r w:rsidR="008627E5" w:rsidRPr="000A0159">
        <w:t xml:space="preserve">in relation to </w:t>
      </w:r>
      <w:r w:rsidR="00A66BCF" w:rsidRPr="000A0159">
        <w:t xml:space="preserve">policy or procedural issues. </w:t>
      </w:r>
      <w:r w:rsidR="008627E5" w:rsidRPr="000A0159">
        <w:t xml:space="preserve">The Panel may </w:t>
      </w:r>
      <w:r w:rsidR="00A66BCF" w:rsidRPr="000A0159">
        <w:t>approach interest groups if they are likely to be materially affected or may provide specialised input.</w:t>
      </w:r>
      <w:r w:rsidR="008627E5" w:rsidRPr="000A0159">
        <w:t xml:space="preserve"> </w:t>
      </w:r>
      <w:r w:rsidR="008627E5" w:rsidRPr="003910A6">
        <w:t>The Panel publishes all submissions.</w:t>
      </w:r>
      <w:r w:rsidR="008627E5" w:rsidRPr="000A0159">
        <w:t xml:space="preserve"> T</w:t>
      </w:r>
      <w:r w:rsidR="00A66BCF" w:rsidRPr="000A0159">
        <w:t xml:space="preserve">he Panel </w:t>
      </w:r>
      <w:r w:rsidR="008627E5" w:rsidRPr="000A0159">
        <w:t xml:space="preserve">also </w:t>
      </w:r>
      <w:r w:rsidR="00A66BCF" w:rsidRPr="000A0159">
        <w:t xml:space="preserve">publishes </w:t>
      </w:r>
      <w:r w:rsidR="00840F78" w:rsidRPr="000A0159">
        <w:t>a response to submissions address</w:t>
      </w:r>
      <w:r w:rsidR="008627E5" w:rsidRPr="000A0159">
        <w:t>ing</w:t>
      </w:r>
      <w:r w:rsidR="00840F78" w:rsidRPr="000A0159">
        <w:t xml:space="preserve"> </w:t>
      </w:r>
      <w:r w:rsidR="00A66BCF" w:rsidRPr="000A0159">
        <w:t>the main comments received and the reasons for adopting or rejecting th</w:t>
      </w:r>
      <w:r w:rsidR="008627E5" w:rsidRPr="000A0159">
        <w:t>em</w:t>
      </w:r>
      <w:r w:rsidR="00A66BCF" w:rsidRPr="000A0159">
        <w:t xml:space="preserve">. For more information </w:t>
      </w:r>
      <w:r w:rsidR="00ED4DC3" w:rsidRPr="000A0159">
        <w:t xml:space="preserve">see the section </w:t>
      </w:r>
      <w:r w:rsidR="008941F8">
        <w:t>‘</w:t>
      </w:r>
      <w:r w:rsidR="00646520">
        <w:t>Public consultations process</w:t>
      </w:r>
      <w:r w:rsidR="008941F8">
        <w:t>’</w:t>
      </w:r>
      <w:r w:rsidR="00A66BCF" w:rsidRPr="000A0159">
        <w:t xml:space="preserve"> </w:t>
      </w:r>
      <w:r w:rsidR="006F19D4" w:rsidRPr="000A0159">
        <w:t xml:space="preserve">under </w:t>
      </w:r>
      <w:r w:rsidR="008941F8">
        <w:t>‘</w:t>
      </w:r>
      <w:r w:rsidR="00ED4DC3" w:rsidRPr="000A0159">
        <w:t>Consultation</w:t>
      </w:r>
      <w:r w:rsidR="00646520">
        <w:t>s</w:t>
      </w:r>
      <w:r w:rsidR="008941F8">
        <w:t>’</w:t>
      </w:r>
      <w:r w:rsidR="006F19D4" w:rsidRPr="000A0159">
        <w:t xml:space="preserve"> </w:t>
      </w:r>
      <w:r w:rsidR="00A66BCF" w:rsidRPr="000A0159">
        <w:t>on the Panel</w:t>
      </w:r>
      <w:r w:rsidR="008941F8">
        <w:t>’</w:t>
      </w:r>
      <w:r w:rsidR="00A66BCF" w:rsidRPr="000A0159">
        <w:t>s website.</w:t>
      </w:r>
    </w:p>
    <w:p w14:paraId="571C6AB1" w14:textId="5BA010D4" w:rsidR="00E92D61" w:rsidRPr="00CF42DC" w:rsidRDefault="00E92D61" w:rsidP="00106449">
      <w:r w:rsidRPr="00CF42DC">
        <w:t xml:space="preserve">In the current period the Panel published </w:t>
      </w:r>
      <w:r w:rsidR="00627DAA" w:rsidRPr="00CF42DC">
        <w:t xml:space="preserve">no </w:t>
      </w:r>
      <w:r w:rsidRPr="00CF42DC">
        <w:t>consultation paper</w:t>
      </w:r>
      <w:r w:rsidR="006467D2" w:rsidRPr="00CF42DC">
        <w:t>s</w:t>
      </w:r>
      <w:r w:rsidRPr="00CF42DC">
        <w:t>.</w:t>
      </w:r>
    </w:p>
    <w:p w14:paraId="571C6ABE" w14:textId="77777777" w:rsidR="0003409C" w:rsidRPr="00AD02A4" w:rsidRDefault="0003409C" w:rsidP="00286051">
      <w:pPr>
        <w:pStyle w:val="Heading2"/>
      </w:pPr>
      <w:bookmarkStart w:id="195" w:name="_Toc177204246"/>
      <w:bookmarkStart w:id="196" w:name="_Toc204589449"/>
      <w:bookmarkStart w:id="197" w:name="_Toc204590135"/>
      <w:bookmarkStart w:id="198" w:name="_Toc204591220"/>
      <w:bookmarkStart w:id="199" w:name="_Toc204591279"/>
      <w:bookmarkStart w:id="200" w:name="_Toc204591393"/>
      <w:bookmarkStart w:id="201" w:name="_Toc207163413"/>
      <w:bookmarkStart w:id="202" w:name="_Toc332277163"/>
      <w:bookmarkStart w:id="203" w:name="_Toc362608082"/>
      <w:bookmarkStart w:id="204" w:name="_Toc174632395"/>
      <w:bookmarkStart w:id="205" w:name="_Toc148348457"/>
      <w:r w:rsidRPr="00AD02A4">
        <w:t>Legislation</w:t>
      </w:r>
      <w:bookmarkEnd w:id="195"/>
      <w:bookmarkEnd w:id="196"/>
      <w:bookmarkEnd w:id="197"/>
      <w:bookmarkEnd w:id="198"/>
      <w:bookmarkEnd w:id="199"/>
      <w:bookmarkEnd w:id="200"/>
      <w:bookmarkEnd w:id="201"/>
      <w:bookmarkEnd w:id="202"/>
      <w:bookmarkEnd w:id="203"/>
      <w:bookmarkEnd w:id="204"/>
      <w:r w:rsidRPr="00AD02A4">
        <w:fldChar w:fldCharType="begin"/>
      </w:r>
      <w:r w:rsidRPr="00AD02A4">
        <w:instrText>xe "Legislation"</w:instrText>
      </w:r>
      <w:r w:rsidRPr="00AD02A4">
        <w:fldChar w:fldCharType="end"/>
      </w:r>
    </w:p>
    <w:p w14:paraId="571C6ABF" w14:textId="77777777" w:rsidR="0003409C" w:rsidRPr="00AD02A4" w:rsidRDefault="0003409C" w:rsidP="00106449">
      <w:r w:rsidRPr="00AD02A4">
        <w:t>The Panel operates under the Corporations Act</w:t>
      </w:r>
      <w:r w:rsidRPr="00AD02A4">
        <w:fldChar w:fldCharType="begin"/>
      </w:r>
      <w:r w:rsidRPr="00AD02A4">
        <w:instrText xml:space="preserve"> XE "Corporations Act 2001 (Cth)"</w:instrText>
      </w:r>
      <w:r w:rsidRPr="00AD02A4">
        <w:fldChar w:fldCharType="end"/>
      </w:r>
      <w:r w:rsidRPr="00AD02A4">
        <w:t xml:space="preserve"> and ASIC Act</w:t>
      </w:r>
      <w:r w:rsidRPr="00AD02A4">
        <w:fldChar w:fldCharType="begin"/>
      </w:r>
      <w:r w:rsidRPr="00AD02A4">
        <w:instrText xml:space="preserve"> XE "Australian Securities and Investments Commission Act 2001 (Cth)" </w:instrText>
      </w:r>
      <w:r w:rsidRPr="00AD02A4">
        <w:fldChar w:fldCharType="end"/>
      </w:r>
      <w:r w:rsidRPr="00AD02A4">
        <w:t>.</w:t>
      </w:r>
    </w:p>
    <w:p w14:paraId="571C6AC0" w14:textId="046E2B19" w:rsidR="0003409C" w:rsidRPr="00AD02A4" w:rsidRDefault="0003409C" w:rsidP="00286051">
      <w:pPr>
        <w:pStyle w:val="Heading2"/>
      </w:pPr>
      <w:bookmarkStart w:id="206" w:name="_Toc362608083"/>
      <w:bookmarkStart w:id="207" w:name="_Toc174632396"/>
      <w:bookmarkEnd w:id="205"/>
      <w:r w:rsidRPr="00AD02A4">
        <w:t xml:space="preserve">Judicial </w:t>
      </w:r>
      <w:r w:rsidR="00746995" w:rsidRPr="00AD02A4">
        <w:t>r</w:t>
      </w:r>
      <w:r w:rsidRPr="00AD02A4">
        <w:t>eview</w:t>
      </w:r>
      <w:bookmarkEnd w:id="206"/>
      <w:bookmarkEnd w:id="207"/>
      <w:r w:rsidRPr="00AD02A4">
        <w:t xml:space="preserve"> </w:t>
      </w:r>
      <w:r w:rsidR="00746995" w:rsidRPr="00AD02A4">
        <w:fldChar w:fldCharType="begin"/>
      </w:r>
      <w:r w:rsidR="00746995" w:rsidRPr="00AD02A4">
        <w:instrText>xe "Judicial review"</w:instrText>
      </w:r>
      <w:r w:rsidR="00746995" w:rsidRPr="00AD02A4">
        <w:fldChar w:fldCharType="end"/>
      </w:r>
    </w:p>
    <w:p w14:paraId="69BA3F4E" w14:textId="67890427" w:rsidR="00F823FF" w:rsidRDefault="00F823FF" w:rsidP="00DA5D4E">
      <w:r>
        <w:t xml:space="preserve">There were no judicial reviews </w:t>
      </w:r>
      <w:r w:rsidR="004C12E6">
        <w:t>of the Panel</w:t>
      </w:r>
      <w:r w:rsidR="008941F8">
        <w:t>’</w:t>
      </w:r>
      <w:r w:rsidR="004C12E6">
        <w:t xml:space="preserve">s decisions </w:t>
      </w:r>
      <w:r w:rsidR="006924BE">
        <w:t>this financial year</w:t>
      </w:r>
      <w:r>
        <w:t>.</w:t>
      </w:r>
    </w:p>
    <w:p w14:paraId="571C6AC4" w14:textId="77777777" w:rsidR="00AD02A4" w:rsidRDefault="00AD02A4" w:rsidP="00C250E9">
      <w:pPr>
        <w:spacing w:after="0"/>
        <w:sectPr w:rsidR="00AD02A4" w:rsidSect="00666211">
          <w:type w:val="oddPage"/>
          <w:pgSz w:w="11907" w:h="16840" w:code="9"/>
          <w:pgMar w:top="2466" w:right="2098" w:bottom="2466" w:left="2098" w:header="1899" w:footer="1899" w:gutter="0"/>
          <w:pgBorders w:offsetFrom="page">
            <w:bottom w:val="single" w:sz="2" w:space="24" w:color="1F497D" w:themeColor="text2"/>
          </w:pgBorders>
          <w:cols w:space="720"/>
          <w:titlePg/>
          <w:docGrid w:linePitch="286"/>
        </w:sectPr>
      </w:pPr>
    </w:p>
    <w:p w14:paraId="571C6AC5" w14:textId="545ADA27" w:rsidR="006555DE" w:rsidRPr="00850B8A" w:rsidRDefault="00CC73CE" w:rsidP="00382254">
      <w:pPr>
        <w:pStyle w:val="Heading1"/>
      </w:pPr>
      <w:bookmarkStart w:id="208" w:name="_Toc332277168"/>
      <w:bookmarkStart w:id="209" w:name="_Toc362608084"/>
      <w:bookmarkStart w:id="210" w:name="_Toc174632397"/>
      <w:r>
        <w:lastRenderedPageBreak/>
        <w:t>Part </w:t>
      </w:r>
      <w:bookmarkEnd w:id="183"/>
      <w:bookmarkEnd w:id="184"/>
      <w:r w:rsidR="00AE31C6">
        <w:t>4</w:t>
      </w:r>
      <w:r w:rsidR="00CD2FE5">
        <w:t xml:space="preserve"> – </w:t>
      </w:r>
      <w:bookmarkStart w:id="211" w:name="_Toc204591229"/>
      <w:bookmarkStart w:id="212" w:name="_Toc204591288"/>
      <w:r w:rsidR="00A352C1">
        <w:t>P</w:t>
      </w:r>
      <w:r w:rsidR="004E7D2A" w:rsidRPr="00850B8A">
        <w:t xml:space="preserve">erformance </w:t>
      </w:r>
      <w:r w:rsidR="00A352C1">
        <w:t>R</w:t>
      </w:r>
      <w:r w:rsidR="004E7D2A" w:rsidRPr="00850B8A">
        <w:t>eporting</w:t>
      </w:r>
      <w:bookmarkEnd w:id="185"/>
      <w:bookmarkEnd w:id="186"/>
      <w:bookmarkEnd w:id="187"/>
      <w:bookmarkEnd w:id="188"/>
      <w:bookmarkEnd w:id="189"/>
      <w:bookmarkEnd w:id="190"/>
      <w:bookmarkEnd w:id="191"/>
      <w:bookmarkEnd w:id="192"/>
      <w:bookmarkEnd w:id="193"/>
      <w:bookmarkEnd w:id="194"/>
      <w:bookmarkEnd w:id="208"/>
      <w:bookmarkEnd w:id="209"/>
      <w:bookmarkEnd w:id="210"/>
      <w:bookmarkEnd w:id="211"/>
      <w:bookmarkEnd w:id="212"/>
    </w:p>
    <w:p w14:paraId="571C6AC6" w14:textId="77777777" w:rsidR="006036EB" w:rsidRPr="008D0118" w:rsidRDefault="006036EB" w:rsidP="00286051">
      <w:pPr>
        <w:pStyle w:val="Heading2"/>
      </w:pPr>
      <w:bookmarkStart w:id="213" w:name="_Toc174632398"/>
      <w:r w:rsidRPr="008D0118">
        <w:t>Matter reviews</w:t>
      </w:r>
      <w:bookmarkEnd w:id="213"/>
    </w:p>
    <w:p w14:paraId="571C6AC7" w14:textId="73C020C4" w:rsidR="006036EB" w:rsidRDefault="0033515E" w:rsidP="00106449">
      <w:r>
        <w:t xml:space="preserve">Panel decisions are discussed </w:t>
      </w:r>
      <w:r w:rsidR="002E2EBA">
        <w:t>at Panel days.</w:t>
      </w:r>
      <w:r w:rsidR="000B02B3">
        <w:t xml:space="preserve"> </w:t>
      </w:r>
      <w:r w:rsidR="000B02B3" w:rsidRPr="00A942BA">
        <w:t xml:space="preserve">The Panel also invites parties to participate in a post </w:t>
      </w:r>
      <w:r w:rsidR="00400C95" w:rsidRPr="00A942BA">
        <w:t>matter review after a</w:t>
      </w:r>
      <w:r w:rsidR="000B02B3" w:rsidRPr="00A942BA">
        <w:t xml:space="preserve"> matter has </w:t>
      </w:r>
      <w:r w:rsidR="000B02B3" w:rsidRPr="007C1E6B">
        <w:t xml:space="preserve">concluded </w:t>
      </w:r>
      <w:r w:rsidR="000B02B3" w:rsidRPr="005377EE">
        <w:t>(</w:t>
      </w:r>
      <w:r w:rsidR="005377EE" w:rsidRPr="005377EE">
        <w:t>six</w:t>
      </w:r>
      <w:r w:rsidR="00412FED" w:rsidRPr="005377EE">
        <w:t xml:space="preserve"> </w:t>
      </w:r>
      <w:r w:rsidR="000B02B3" w:rsidRPr="005377EE">
        <w:t>post matter review</w:t>
      </w:r>
      <w:r w:rsidR="005377EE" w:rsidRPr="005377EE">
        <w:t>s</w:t>
      </w:r>
      <w:r w:rsidR="00412FED" w:rsidRPr="005377EE">
        <w:t xml:space="preserve"> </w:t>
      </w:r>
      <w:r w:rsidR="005377EE" w:rsidRPr="005377EE">
        <w:t>were</w:t>
      </w:r>
      <w:r w:rsidR="00412FED" w:rsidRPr="005377EE">
        <w:t xml:space="preserve"> </w:t>
      </w:r>
      <w:r w:rsidR="000B02B3" w:rsidRPr="005377EE">
        <w:t>held in</w:t>
      </w:r>
      <w:r w:rsidR="00CC73CE" w:rsidRPr="005377EE">
        <w:t> </w:t>
      </w:r>
      <w:r w:rsidR="000B02B3" w:rsidRPr="005377EE">
        <w:t>20</w:t>
      </w:r>
      <w:r w:rsidR="00DA5278" w:rsidRPr="005377EE">
        <w:t>2</w:t>
      </w:r>
      <w:r w:rsidR="00CF42DC" w:rsidRPr="005377EE">
        <w:t>3</w:t>
      </w:r>
      <w:r w:rsidR="00550FAF" w:rsidRPr="005377EE">
        <w:t>–</w:t>
      </w:r>
      <w:r w:rsidR="004C1F7B" w:rsidRPr="005377EE">
        <w:t>2</w:t>
      </w:r>
      <w:r w:rsidR="00CF42DC" w:rsidRPr="005377EE">
        <w:t>4</w:t>
      </w:r>
      <w:r w:rsidR="000B02B3" w:rsidRPr="005377EE">
        <w:t>).</w:t>
      </w:r>
      <w:r w:rsidR="000B02B3">
        <w:t xml:space="preserve"> </w:t>
      </w:r>
    </w:p>
    <w:p w14:paraId="571C6AC8" w14:textId="77777777" w:rsidR="006555DE" w:rsidRPr="00FA270D" w:rsidRDefault="00B928C4" w:rsidP="00286051">
      <w:pPr>
        <w:pStyle w:val="Heading2"/>
      </w:pPr>
      <w:bookmarkStart w:id="214" w:name="_Toc204589469"/>
      <w:bookmarkStart w:id="215" w:name="_Toc174632399"/>
      <w:r w:rsidRPr="00FA270D">
        <w:t>Industry l</w:t>
      </w:r>
      <w:r w:rsidR="006555DE" w:rsidRPr="00FA270D">
        <w:t>iaison</w:t>
      </w:r>
      <w:bookmarkEnd w:id="214"/>
      <w:bookmarkEnd w:id="215"/>
    </w:p>
    <w:p w14:paraId="571C6AC9" w14:textId="174522AC" w:rsidR="00CF4B11" w:rsidRDefault="006555DE" w:rsidP="00106449">
      <w:r w:rsidRPr="00850B8A">
        <w:t xml:space="preserve">The Panel </w:t>
      </w:r>
      <w:r w:rsidR="003E7809">
        <w:t xml:space="preserve">executive </w:t>
      </w:r>
      <w:r w:rsidRPr="00850B8A">
        <w:t xml:space="preserve">liaises with the major regulators in the takeovers area in Australia and overseas. Liaison with Australian regulators (ASIC, with which </w:t>
      </w:r>
      <w:r w:rsidR="000C69D4">
        <w:t xml:space="preserve">the Panel executive has </w:t>
      </w:r>
      <w:r w:rsidRPr="00850B8A">
        <w:t xml:space="preserve">an MOU, ASX and </w:t>
      </w:r>
      <w:r w:rsidR="00240C56">
        <w:t>FIRB</w:t>
      </w:r>
      <w:r w:rsidRPr="00850B8A">
        <w:t xml:space="preserve">) ensures that the Panel has effective working relations and its regulatory role fits appropriately with theirs. The Panel </w:t>
      </w:r>
      <w:r w:rsidR="003E7809">
        <w:t xml:space="preserve">executive </w:t>
      </w:r>
      <w:r w:rsidRPr="00850B8A">
        <w:t>h</w:t>
      </w:r>
      <w:r w:rsidR="00D42C13">
        <w:t>olds</w:t>
      </w:r>
      <w:r w:rsidRPr="00850B8A">
        <w:t xml:space="preserve"> regular liaison meetings with ASIC staff to discuss policy developments and recent issues. </w:t>
      </w:r>
    </w:p>
    <w:p w14:paraId="571C6ACA" w14:textId="61EA7796" w:rsidR="006A6881" w:rsidRDefault="006A6881" w:rsidP="00106449">
      <w:r w:rsidRPr="00C8333F">
        <w:t xml:space="preserve">The Panel executive contributes to </w:t>
      </w:r>
      <w:r w:rsidR="006805F9">
        <w:t xml:space="preserve">the </w:t>
      </w:r>
      <w:r w:rsidRPr="00C8333F">
        <w:t>Asia Pacific Takeovers Regulators</w:t>
      </w:r>
      <w:r w:rsidR="000C69D4">
        <w:t xml:space="preserve"> Forum</w:t>
      </w:r>
      <w:r w:rsidR="008941F8">
        <w:t xml:space="preserve">. </w:t>
      </w:r>
      <w:r w:rsidR="004B6D0C">
        <w:t>In May</w:t>
      </w:r>
      <w:r w:rsidR="00441EFC">
        <w:t> </w:t>
      </w:r>
      <w:r w:rsidR="004B6D0C">
        <w:t xml:space="preserve">2024, Tania Mattei </w:t>
      </w:r>
      <w:r w:rsidR="00846AB9">
        <w:t>presented at</w:t>
      </w:r>
      <w:r w:rsidR="004B6D0C">
        <w:t xml:space="preserve"> the 7</w:t>
      </w:r>
      <w:r w:rsidR="004B6D0C" w:rsidRPr="002B53EE">
        <w:rPr>
          <w:vertAlign w:val="superscript"/>
        </w:rPr>
        <w:t>th</w:t>
      </w:r>
      <w:r w:rsidR="004B6D0C">
        <w:t xml:space="preserve"> International Takeovers Regulators</w:t>
      </w:r>
      <w:r w:rsidR="008941F8">
        <w:t>’</w:t>
      </w:r>
      <w:r w:rsidR="004B6D0C">
        <w:t xml:space="preserve"> Conference in Toronto, Canada.</w:t>
      </w:r>
    </w:p>
    <w:p w14:paraId="571C6ACB" w14:textId="77777777" w:rsidR="00E73579" w:rsidRDefault="006555DE" w:rsidP="00106449">
      <w:r w:rsidRPr="00850B8A">
        <w:t xml:space="preserve">The Panel also maintains contact with organisations such as the </w:t>
      </w:r>
      <w:r w:rsidR="007176A9">
        <w:t xml:space="preserve">Business Law Section of the </w:t>
      </w:r>
      <w:r w:rsidRPr="00850B8A">
        <w:t>Law Council of Australia.</w:t>
      </w:r>
      <w:r w:rsidR="00346B56">
        <w:t xml:space="preserve"> </w:t>
      </w:r>
      <w:r w:rsidRPr="00850B8A">
        <w:t xml:space="preserve">Panel members and the </w:t>
      </w:r>
      <w:r w:rsidR="007F478A" w:rsidRPr="00850B8A">
        <w:t>e</w:t>
      </w:r>
      <w:r w:rsidRPr="00850B8A">
        <w:t>xecutive also attend and speak at industry meetings, education sessions and seminars.</w:t>
      </w:r>
    </w:p>
    <w:p w14:paraId="571C6ACC" w14:textId="77777777" w:rsidR="00B071DD" w:rsidRPr="00FA270D" w:rsidRDefault="00B071DD" w:rsidP="00286051">
      <w:pPr>
        <w:pStyle w:val="Heading2"/>
      </w:pPr>
      <w:bookmarkStart w:id="216" w:name="_Toc174632400"/>
      <w:r w:rsidRPr="00FA270D">
        <w:t>Referrals to ASIC</w:t>
      </w:r>
      <w:bookmarkEnd w:id="216"/>
    </w:p>
    <w:p w14:paraId="571C6ACD" w14:textId="27CBEED8" w:rsidR="002E2EBA" w:rsidRDefault="002E2EBA" w:rsidP="00106449">
      <w:pPr>
        <w:rPr>
          <w:lang w:eastAsia="en-AU"/>
        </w:rPr>
      </w:pPr>
      <w:r>
        <w:rPr>
          <w:lang w:eastAsia="en-AU"/>
        </w:rPr>
        <w:t>ASIC is involved in every application. M</w:t>
      </w:r>
      <w:r w:rsidR="00B071DD">
        <w:rPr>
          <w:lang w:eastAsia="en-AU"/>
        </w:rPr>
        <w:t xml:space="preserve">atters might be </w:t>
      </w:r>
      <w:r>
        <w:rPr>
          <w:lang w:eastAsia="en-AU"/>
        </w:rPr>
        <w:t xml:space="preserve">specifically </w:t>
      </w:r>
      <w:r w:rsidR="00B071DD">
        <w:rPr>
          <w:lang w:eastAsia="en-AU"/>
        </w:rPr>
        <w:t>referred to ASIC</w:t>
      </w:r>
      <w:r w:rsidR="0000405E">
        <w:rPr>
          <w:lang w:eastAsia="en-AU"/>
        </w:rPr>
        <w:t> </w:t>
      </w:r>
      <w:r>
        <w:rPr>
          <w:lang w:eastAsia="en-AU"/>
        </w:rPr>
        <w:t>because:</w:t>
      </w:r>
    </w:p>
    <w:p w14:paraId="571C6ACE" w14:textId="38192215" w:rsidR="002E2EBA" w:rsidRPr="00E83528" w:rsidRDefault="00300003" w:rsidP="004B1937">
      <w:pPr>
        <w:pStyle w:val="Bullet"/>
        <w:rPr>
          <w:lang w:eastAsia="en-AU"/>
        </w:rPr>
      </w:pPr>
      <w:r>
        <w:rPr>
          <w:lang w:eastAsia="en-AU"/>
        </w:rPr>
        <w:t>a</w:t>
      </w:r>
      <w:r w:rsidR="002E2EBA">
        <w:rPr>
          <w:lang w:eastAsia="en-AU"/>
        </w:rPr>
        <w:t xml:space="preserve"> </w:t>
      </w:r>
      <w:r w:rsidR="0057255B">
        <w:rPr>
          <w:lang w:eastAsia="en-AU"/>
        </w:rPr>
        <w:t xml:space="preserve">sitting </w:t>
      </w:r>
      <w:r w:rsidR="002E2EBA">
        <w:rPr>
          <w:lang w:eastAsia="en-AU"/>
        </w:rPr>
        <w:t xml:space="preserve">Panel considers that ASIC should </w:t>
      </w:r>
      <w:r w:rsidR="00B071DD">
        <w:rPr>
          <w:lang w:eastAsia="en-AU"/>
        </w:rPr>
        <w:t>look into aspects of the application that might give rise to concerns under the Corporations Act generally</w:t>
      </w:r>
    </w:p>
    <w:p w14:paraId="571C6ACF" w14:textId="77777777" w:rsidR="005B6144" w:rsidRDefault="00300003" w:rsidP="004B1937">
      <w:pPr>
        <w:pStyle w:val="Bullet"/>
        <w:rPr>
          <w:lang w:eastAsia="en-AU"/>
        </w:rPr>
      </w:pPr>
      <w:r>
        <w:rPr>
          <w:lang w:eastAsia="en-AU"/>
        </w:rPr>
        <w:t>t</w:t>
      </w:r>
      <w:r w:rsidR="00826E16">
        <w:rPr>
          <w:lang w:eastAsia="en-AU"/>
        </w:rPr>
        <w:t xml:space="preserve">he Panel </w:t>
      </w:r>
      <w:r w:rsidR="002E2EBA">
        <w:rPr>
          <w:lang w:eastAsia="en-AU"/>
        </w:rPr>
        <w:t>wants</w:t>
      </w:r>
      <w:r w:rsidR="00826E16">
        <w:rPr>
          <w:lang w:eastAsia="en-AU"/>
        </w:rPr>
        <w:t xml:space="preserve"> ASIC to consider</w:t>
      </w:r>
      <w:r w:rsidR="002E2EBA">
        <w:rPr>
          <w:lang w:eastAsia="en-AU"/>
        </w:rPr>
        <w:t xml:space="preserve"> whether to make an application</w:t>
      </w:r>
      <w:r w:rsidR="00826E16">
        <w:rPr>
          <w:lang w:eastAsia="en-AU"/>
        </w:rPr>
        <w:t>.</w:t>
      </w:r>
      <w:r w:rsidR="008652AE">
        <w:rPr>
          <w:rStyle w:val="FootnoteReference"/>
          <w:lang w:eastAsia="en-AU"/>
        </w:rPr>
        <w:footnoteReference w:id="23"/>
      </w:r>
      <w:r w:rsidR="006A355E" w:rsidRPr="006A355E">
        <w:rPr>
          <w:lang w:eastAsia="en-AU"/>
        </w:rPr>
        <w:t xml:space="preserve"> </w:t>
      </w:r>
    </w:p>
    <w:p w14:paraId="571C6AD0" w14:textId="2A700AFD" w:rsidR="00B071DD" w:rsidRDefault="006A355E" w:rsidP="00106449">
      <w:pPr>
        <w:rPr>
          <w:lang w:eastAsia="en-AU"/>
        </w:rPr>
      </w:pPr>
      <w:r w:rsidRPr="006C1D5E">
        <w:rPr>
          <w:lang w:eastAsia="en-AU"/>
        </w:rPr>
        <w:t>Th</w:t>
      </w:r>
      <w:r w:rsidR="005B6144" w:rsidRPr="006C1D5E">
        <w:rPr>
          <w:lang w:eastAsia="en-AU"/>
        </w:rPr>
        <w:t xml:space="preserve">ere </w:t>
      </w:r>
      <w:r w:rsidR="00EC7B18" w:rsidRPr="006C1D5E">
        <w:rPr>
          <w:lang w:eastAsia="en-AU"/>
        </w:rPr>
        <w:t>w</w:t>
      </w:r>
      <w:r w:rsidR="00412FED" w:rsidRPr="006C1D5E">
        <w:rPr>
          <w:lang w:eastAsia="en-AU"/>
        </w:rPr>
        <w:t xml:space="preserve">as one </w:t>
      </w:r>
      <w:r w:rsidR="00EC7B18" w:rsidRPr="006C1D5E">
        <w:rPr>
          <w:lang w:eastAsia="en-AU"/>
        </w:rPr>
        <w:t>referral</w:t>
      </w:r>
      <w:r w:rsidR="00FA73A8" w:rsidRPr="006C1D5E">
        <w:rPr>
          <w:lang w:eastAsia="en-AU"/>
        </w:rPr>
        <w:t xml:space="preserve"> made </w:t>
      </w:r>
      <w:r w:rsidRPr="006C1D5E">
        <w:rPr>
          <w:lang w:eastAsia="en-AU"/>
        </w:rPr>
        <w:t>during the current period</w:t>
      </w:r>
      <w:r w:rsidR="00EC7B18" w:rsidRPr="006C1D5E">
        <w:rPr>
          <w:lang w:eastAsia="en-AU"/>
        </w:rPr>
        <w:t>.</w:t>
      </w:r>
    </w:p>
    <w:p w14:paraId="571C6AD1" w14:textId="77777777" w:rsidR="009014AA" w:rsidRPr="008715D6" w:rsidRDefault="009014AA" w:rsidP="008715D6">
      <w:bookmarkStart w:id="217" w:name="_Toc204589470"/>
      <w:r w:rsidRPr="008715D6">
        <w:br w:type="page"/>
      </w:r>
    </w:p>
    <w:p w14:paraId="571C6AD2" w14:textId="77777777" w:rsidR="006555DE" w:rsidRPr="00FA270D" w:rsidRDefault="006555DE" w:rsidP="00286051">
      <w:pPr>
        <w:pStyle w:val="Heading2"/>
      </w:pPr>
      <w:bookmarkStart w:id="218" w:name="_Toc174632401"/>
      <w:r w:rsidRPr="00FA270D">
        <w:lastRenderedPageBreak/>
        <w:t>Website</w:t>
      </w:r>
      <w:bookmarkEnd w:id="217"/>
      <w:bookmarkEnd w:id="218"/>
      <w:r w:rsidR="00815A6A">
        <w:t xml:space="preserve"> </w:t>
      </w:r>
      <w:r w:rsidR="00815A6A" w:rsidRPr="00603084">
        <w:fldChar w:fldCharType="begin"/>
      </w:r>
      <w:r w:rsidR="00815A6A" w:rsidRPr="00603084">
        <w:instrText>xe "</w:instrText>
      </w:r>
      <w:r w:rsidR="00815A6A">
        <w:instrText>Website</w:instrText>
      </w:r>
      <w:r w:rsidR="00815A6A" w:rsidRPr="00603084">
        <w:instrText>"</w:instrText>
      </w:r>
      <w:r w:rsidR="00815A6A" w:rsidRPr="00603084">
        <w:fldChar w:fldCharType="end"/>
      </w:r>
    </w:p>
    <w:p w14:paraId="571C6AD3" w14:textId="639415B6" w:rsidR="000F1161" w:rsidRDefault="006555DE" w:rsidP="008071FC">
      <w:pPr>
        <w:ind w:right="-58"/>
      </w:pPr>
      <w:r w:rsidRPr="004437F4">
        <w:t xml:space="preserve">The Panel uses its website </w:t>
      </w:r>
      <w:r w:rsidR="00B928C4" w:rsidRPr="004437F4">
        <w:t>(</w:t>
      </w:r>
      <w:r w:rsidR="00B928C4" w:rsidRPr="004437F4">
        <w:rPr>
          <w:rStyle w:val="Hyperlink"/>
        </w:rPr>
        <w:t>www.takeovers.gov.au</w:t>
      </w:r>
      <w:r w:rsidR="00B928C4" w:rsidRPr="004437F4">
        <w:t xml:space="preserve">) to maintain a market </w:t>
      </w:r>
      <w:r w:rsidRPr="004437F4">
        <w:t xml:space="preserve">presence, </w:t>
      </w:r>
      <w:r w:rsidR="00B928C4" w:rsidRPr="004437F4">
        <w:t>inform, invite</w:t>
      </w:r>
      <w:r w:rsidRPr="004437F4">
        <w:t xml:space="preserve"> contact, publish documents and </w:t>
      </w:r>
      <w:r w:rsidR="00B928C4" w:rsidRPr="004437F4">
        <w:t>undertake policy consultation</w:t>
      </w:r>
      <w:r w:rsidR="006B6647" w:rsidRPr="004437F4">
        <w:t xml:space="preserve">. </w:t>
      </w:r>
      <w:r w:rsidR="00B66C87" w:rsidRPr="00F64F17">
        <w:t>During</w:t>
      </w:r>
      <w:r w:rsidR="0000405E" w:rsidRPr="00F64F17">
        <w:t> </w:t>
      </w:r>
      <w:r w:rsidR="00B66C87" w:rsidRPr="00F64F17">
        <w:t>the</w:t>
      </w:r>
      <w:r w:rsidR="0000405E" w:rsidRPr="00F64F17">
        <w:t> </w:t>
      </w:r>
      <w:r w:rsidR="00B66C87" w:rsidRPr="00F64F17">
        <w:t>financial year</w:t>
      </w:r>
      <w:r w:rsidR="0043260E" w:rsidRPr="00F64F17">
        <w:t xml:space="preserve">, </w:t>
      </w:r>
      <w:r w:rsidR="00F64F17" w:rsidRPr="00F64F17">
        <w:t>71,182</w:t>
      </w:r>
      <w:r w:rsidR="00550FAF" w:rsidRPr="00F64F17">
        <w:t> </w:t>
      </w:r>
      <w:r w:rsidR="0043260E" w:rsidRPr="00F64F17">
        <w:t>people visited the Panel</w:t>
      </w:r>
      <w:r w:rsidR="008941F8">
        <w:t>’</w:t>
      </w:r>
      <w:r w:rsidR="0043260E" w:rsidRPr="00F64F17">
        <w:t>s website</w:t>
      </w:r>
      <w:r w:rsidR="00C93FC4" w:rsidRPr="00F64F17">
        <w:t xml:space="preserve"> and there were </w:t>
      </w:r>
      <w:r w:rsidR="00F64F17" w:rsidRPr="00F64F17">
        <w:t>263,710</w:t>
      </w:r>
      <w:r w:rsidR="00441EFC">
        <w:t> </w:t>
      </w:r>
      <w:r w:rsidR="001A7BB5" w:rsidRPr="00F64F17">
        <w:t>page</w:t>
      </w:r>
      <w:r w:rsidR="0000405E" w:rsidRPr="00F64F17">
        <w:t> </w:t>
      </w:r>
      <w:r w:rsidR="001A7BB5" w:rsidRPr="00F64F17">
        <w:t>views</w:t>
      </w:r>
      <w:r w:rsidR="00C93FC4" w:rsidRPr="00F64F17">
        <w:t>.</w:t>
      </w:r>
    </w:p>
    <w:p w14:paraId="571C6AD4" w14:textId="77777777" w:rsidR="006555DE" w:rsidRPr="00FA270D" w:rsidRDefault="006555DE" w:rsidP="00286051">
      <w:pPr>
        <w:pStyle w:val="Heading2"/>
      </w:pPr>
      <w:bookmarkStart w:id="219" w:name="_Toc204589471"/>
      <w:bookmarkStart w:id="220" w:name="_Toc174632402"/>
      <w:r w:rsidRPr="00FA270D">
        <w:t>Announcements and media releases</w:t>
      </w:r>
      <w:bookmarkEnd w:id="219"/>
      <w:bookmarkEnd w:id="220"/>
    </w:p>
    <w:p w14:paraId="571C6AD5" w14:textId="2C7F492A" w:rsidR="00DF622D" w:rsidRDefault="006555DE" w:rsidP="00106449">
      <w:r w:rsidRPr="00850B8A">
        <w:t xml:space="preserve">Panel decisions are </w:t>
      </w:r>
      <w:r w:rsidR="00D23442">
        <w:t>available through the Panel</w:t>
      </w:r>
      <w:r w:rsidR="008941F8">
        <w:t>’</w:t>
      </w:r>
      <w:r w:rsidR="00D23442">
        <w:t xml:space="preserve">s </w:t>
      </w:r>
      <w:r w:rsidR="00DF622D">
        <w:t xml:space="preserve">website or </w:t>
      </w:r>
      <w:r w:rsidR="00D23442">
        <w:t>RSS feed.</w:t>
      </w:r>
    </w:p>
    <w:p w14:paraId="571C6AD6" w14:textId="25DD0F56" w:rsidR="003E265B" w:rsidRDefault="006555DE" w:rsidP="00106449">
      <w:r w:rsidRPr="00850B8A">
        <w:t>If the entity</w:t>
      </w:r>
      <w:r w:rsidR="00FD516F" w:rsidRPr="00850B8A">
        <w:t xml:space="preserve"> involved</w:t>
      </w:r>
      <w:r w:rsidRPr="00850B8A">
        <w:t xml:space="preserve"> </w:t>
      </w:r>
      <w:r w:rsidR="00DF622D">
        <w:t xml:space="preserve">in a Panel matter </w:t>
      </w:r>
      <w:r w:rsidRPr="00850B8A">
        <w:t xml:space="preserve">is listed, </w:t>
      </w:r>
      <w:r w:rsidR="00850B8A">
        <w:t xml:space="preserve">the </w:t>
      </w:r>
      <w:r w:rsidR="00DF622D">
        <w:t>Panel</w:t>
      </w:r>
      <w:r w:rsidR="008941F8">
        <w:t>’</w:t>
      </w:r>
      <w:r w:rsidR="00DF622D">
        <w:t xml:space="preserve">s </w:t>
      </w:r>
      <w:r w:rsidR="00850B8A">
        <w:t>media release</w:t>
      </w:r>
      <w:r w:rsidR="00DF622D">
        <w:t>s in relation to that matter are</w:t>
      </w:r>
      <w:r w:rsidR="00850B8A">
        <w:t xml:space="preserve"> </w:t>
      </w:r>
      <w:r w:rsidR="001F0DDE">
        <w:t xml:space="preserve">also </w:t>
      </w:r>
      <w:r w:rsidR="001A1927">
        <w:t>made available</w:t>
      </w:r>
      <w:r w:rsidR="001A1927" w:rsidRPr="00850B8A">
        <w:t xml:space="preserve"> </w:t>
      </w:r>
      <w:r w:rsidR="00850B8A">
        <w:t xml:space="preserve">on </w:t>
      </w:r>
      <w:r w:rsidR="001A1927">
        <w:t xml:space="preserve">the </w:t>
      </w:r>
      <w:r w:rsidRPr="00850B8A">
        <w:t>ASX</w:t>
      </w:r>
      <w:r w:rsidR="00D43BD2">
        <w:t xml:space="preserve"> </w:t>
      </w:r>
      <w:r w:rsidR="001A1927">
        <w:t>website</w:t>
      </w:r>
      <w:r w:rsidR="00AB50EA">
        <w:t xml:space="preserve"> </w:t>
      </w:r>
      <w:r w:rsidR="00D43BD2">
        <w:t>or the relevant</w:t>
      </w:r>
      <w:r w:rsidR="008F4D6A">
        <w:t xml:space="preserve"> Australian</w:t>
      </w:r>
      <w:r w:rsidR="00D43BD2">
        <w:t xml:space="preserve"> </w:t>
      </w:r>
      <w:r w:rsidR="00C42431" w:rsidRPr="00826C19">
        <w:t>securities exchange</w:t>
      </w:r>
      <w:r w:rsidR="003A26E2">
        <w:t>.</w:t>
      </w:r>
    </w:p>
    <w:p w14:paraId="571C6AD7" w14:textId="77777777" w:rsidR="003961C1" w:rsidRPr="003E265B" w:rsidRDefault="003961C1" w:rsidP="00286051">
      <w:pPr>
        <w:pStyle w:val="Heading2"/>
      </w:pPr>
      <w:bookmarkStart w:id="221" w:name="_Toc174632403"/>
      <w:r>
        <w:t xml:space="preserve">Corporate </w:t>
      </w:r>
      <w:r w:rsidR="001B2403">
        <w:t>governance</w:t>
      </w:r>
      <w:bookmarkEnd w:id="221"/>
      <w:r w:rsidR="00746995" w:rsidRPr="0067129A">
        <w:rPr>
          <w:i/>
        </w:rPr>
        <w:fldChar w:fldCharType="begin"/>
      </w:r>
      <w:r w:rsidR="00746995" w:rsidRPr="0067129A">
        <w:rPr>
          <w:i/>
        </w:rPr>
        <w:instrText>xe "</w:instrText>
      </w:r>
      <w:r w:rsidR="00746995" w:rsidRPr="00746995">
        <w:instrText xml:space="preserve">Corporate </w:instrText>
      </w:r>
      <w:r w:rsidR="001B2403">
        <w:instrText>governance</w:instrText>
      </w:r>
      <w:r w:rsidR="00746995" w:rsidRPr="0067129A">
        <w:rPr>
          <w:i/>
        </w:rPr>
        <w:instrText>"</w:instrText>
      </w:r>
      <w:r w:rsidR="00746995" w:rsidRPr="0067129A">
        <w:rPr>
          <w:i/>
        </w:rPr>
        <w:fldChar w:fldCharType="end"/>
      </w:r>
    </w:p>
    <w:p w14:paraId="571C6AD8" w14:textId="77777777" w:rsidR="006555DE" w:rsidRPr="00FA270D" w:rsidRDefault="006555DE" w:rsidP="00286051">
      <w:pPr>
        <w:pStyle w:val="Heading3"/>
      </w:pPr>
      <w:bookmarkStart w:id="222" w:name="_Toc204589478"/>
      <w:r w:rsidRPr="002610F7">
        <w:t>Planning</w:t>
      </w:r>
      <w:r w:rsidRPr="00FA270D">
        <w:t xml:space="preserve"> and review</w:t>
      </w:r>
      <w:bookmarkEnd w:id="222"/>
    </w:p>
    <w:p w14:paraId="571C6AD9" w14:textId="77777777" w:rsidR="006555DE" w:rsidRPr="00603084" w:rsidRDefault="006555DE" w:rsidP="00106449">
      <w:r w:rsidRPr="0035507E">
        <w:t xml:space="preserve">The </w:t>
      </w:r>
      <w:r w:rsidR="007F478A" w:rsidRPr="0035507E">
        <w:t>e</w:t>
      </w:r>
      <w:r w:rsidRPr="0035507E">
        <w:t>xecutive holds regular operational review meetings with the President</w:t>
      </w:r>
      <w:r w:rsidR="00B928C4" w:rsidRPr="0035507E">
        <w:t xml:space="preserve"> and Treasury</w:t>
      </w:r>
      <w:r w:rsidR="00A536C6" w:rsidRPr="0035507E">
        <w:t>.</w:t>
      </w:r>
    </w:p>
    <w:p w14:paraId="571C6ADA" w14:textId="638BD946" w:rsidR="006555DE" w:rsidRPr="00603084" w:rsidRDefault="006555DE" w:rsidP="00106449">
      <w:r w:rsidRPr="00603084">
        <w:t>Executive staff performance is reviewed as part of Treasury</w:t>
      </w:r>
      <w:r w:rsidR="008941F8">
        <w:t>’</w:t>
      </w:r>
      <w:r w:rsidRPr="00603084">
        <w:t>s performance appraisal</w:t>
      </w:r>
      <w:r w:rsidR="0000405E">
        <w:t> </w:t>
      </w:r>
      <w:r w:rsidRPr="00603084">
        <w:t>program.</w:t>
      </w:r>
    </w:p>
    <w:p w14:paraId="571C6ADB" w14:textId="77777777" w:rsidR="006555DE" w:rsidRPr="00603084" w:rsidRDefault="006555DE" w:rsidP="00106449">
      <w:r w:rsidRPr="00A942BA">
        <w:t xml:space="preserve">The APS Values and Code of Conduct </w:t>
      </w:r>
      <w:r w:rsidR="00107B3E" w:rsidRPr="00A942BA">
        <w:t xml:space="preserve">apply </w:t>
      </w:r>
      <w:r w:rsidRPr="00A942BA">
        <w:t xml:space="preserve">to </w:t>
      </w:r>
      <w:r w:rsidR="00C42431">
        <w:t>the executive and, in certain circumstances, Panel members</w:t>
      </w:r>
      <w:r w:rsidRPr="00A942BA">
        <w:t>.</w:t>
      </w:r>
    </w:p>
    <w:p w14:paraId="571C6ADC" w14:textId="77777777" w:rsidR="006555DE" w:rsidRPr="005B3798" w:rsidRDefault="006555DE" w:rsidP="00286051">
      <w:pPr>
        <w:pStyle w:val="Heading3"/>
      </w:pPr>
      <w:bookmarkStart w:id="223" w:name="_Toc204589480"/>
      <w:bookmarkStart w:id="224" w:name="OLE_LINK11"/>
      <w:bookmarkStart w:id="225" w:name="OLE_LINK12"/>
      <w:r w:rsidRPr="005B3798">
        <w:t>Fraud control</w:t>
      </w:r>
      <w:bookmarkEnd w:id="223"/>
    </w:p>
    <w:p w14:paraId="571C6ADD" w14:textId="426E1981" w:rsidR="006555DE" w:rsidRPr="005B3798" w:rsidRDefault="006555DE" w:rsidP="00106449">
      <w:pPr>
        <w:rPr>
          <w:snapToGrid w:val="0"/>
        </w:rPr>
      </w:pPr>
      <w:r w:rsidRPr="005B3798">
        <w:rPr>
          <w:snapToGrid w:val="0"/>
        </w:rPr>
        <w:t xml:space="preserve">The Panel is covered by </w:t>
      </w:r>
      <w:r w:rsidRPr="00935C83">
        <w:rPr>
          <w:snapToGrid w:val="0"/>
        </w:rPr>
        <w:t>Treasury</w:t>
      </w:r>
      <w:r w:rsidR="008941F8">
        <w:rPr>
          <w:snapToGrid w:val="0"/>
        </w:rPr>
        <w:t>’</w:t>
      </w:r>
      <w:r w:rsidRPr="00935C83">
        <w:rPr>
          <w:snapToGrid w:val="0"/>
        </w:rPr>
        <w:t xml:space="preserve">s Fraud </w:t>
      </w:r>
      <w:r w:rsidR="00AC673E" w:rsidRPr="00935C83">
        <w:rPr>
          <w:snapToGrid w:val="0"/>
        </w:rPr>
        <w:t>and Corruption Control Plan 20</w:t>
      </w:r>
      <w:r w:rsidR="005A3C9F" w:rsidRPr="00935C83">
        <w:rPr>
          <w:snapToGrid w:val="0"/>
        </w:rPr>
        <w:t>2</w:t>
      </w:r>
      <w:r w:rsidR="00935C83" w:rsidRPr="00935C83">
        <w:rPr>
          <w:snapToGrid w:val="0"/>
        </w:rPr>
        <w:t>3</w:t>
      </w:r>
      <w:r w:rsidR="00441EFC">
        <w:rPr>
          <w:snapToGrid w:val="0"/>
        </w:rPr>
        <w:t>–</w:t>
      </w:r>
      <w:r w:rsidR="00935C83" w:rsidRPr="00935C83">
        <w:rPr>
          <w:snapToGrid w:val="0"/>
        </w:rPr>
        <w:t>25</w:t>
      </w:r>
      <w:r w:rsidR="003A26E2" w:rsidRPr="00935C83">
        <w:rPr>
          <w:snapToGrid w:val="0"/>
        </w:rPr>
        <w:t>.</w:t>
      </w:r>
    </w:p>
    <w:p w14:paraId="571C6ADE" w14:textId="77777777" w:rsidR="002A52EF" w:rsidRPr="005B3798" w:rsidRDefault="002A52EF" w:rsidP="00286051">
      <w:pPr>
        <w:pStyle w:val="Heading3"/>
      </w:pPr>
      <w:bookmarkStart w:id="226" w:name="_Toc143338240"/>
      <w:bookmarkStart w:id="227" w:name="_Toc143340306"/>
      <w:bookmarkStart w:id="228" w:name="_Toc143418680"/>
      <w:bookmarkStart w:id="229" w:name="_Toc143420189"/>
      <w:bookmarkStart w:id="230" w:name="_Toc177204263"/>
      <w:bookmarkStart w:id="231" w:name="_Toc204589482"/>
      <w:bookmarkStart w:id="232" w:name="_Toc204590148"/>
      <w:bookmarkStart w:id="233" w:name="_Toc204591234"/>
      <w:bookmarkStart w:id="234" w:name="_Toc204591293"/>
      <w:bookmarkStart w:id="235" w:name="_Toc204591406"/>
      <w:bookmarkStart w:id="236" w:name="_Toc207163423"/>
      <w:r>
        <w:t xml:space="preserve">Risk </w:t>
      </w:r>
      <w:r w:rsidR="00647EF7">
        <w:t>m</w:t>
      </w:r>
      <w:r>
        <w:t>anagement</w:t>
      </w:r>
    </w:p>
    <w:p w14:paraId="571C6ADF" w14:textId="69C05DB5" w:rsidR="002A52EF" w:rsidRPr="005B3798" w:rsidRDefault="002A52EF" w:rsidP="00106449">
      <w:pPr>
        <w:rPr>
          <w:snapToGrid w:val="0"/>
        </w:rPr>
      </w:pPr>
      <w:r>
        <w:rPr>
          <w:snapToGrid w:val="0"/>
        </w:rPr>
        <w:t xml:space="preserve">The Panel </w:t>
      </w:r>
      <w:r w:rsidR="00D014DD">
        <w:rPr>
          <w:snapToGrid w:val="0"/>
        </w:rPr>
        <w:t>maintains a risk register and major risks are reviewed monthly</w:t>
      </w:r>
      <w:r w:rsidR="003A26E2">
        <w:rPr>
          <w:snapToGrid w:val="0"/>
        </w:rPr>
        <w:t>.</w:t>
      </w:r>
    </w:p>
    <w:p w14:paraId="571C6AE0" w14:textId="77777777" w:rsidR="006555DE" w:rsidRPr="0044415E" w:rsidRDefault="006555DE" w:rsidP="00286051">
      <w:pPr>
        <w:pStyle w:val="Heading2"/>
      </w:pPr>
      <w:bookmarkStart w:id="237" w:name="_Toc332277173"/>
      <w:bookmarkStart w:id="238" w:name="_Toc362608085"/>
      <w:bookmarkStart w:id="239" w:name="_Toc174632404"/>
      <w:r w:rsidRPr="0044415E">
        <w:t>Outcome and output infor</w:t>
      </w:r>
      <w:bookmarkStart w:id="240" w:name="_Hlt528471940"/>
      <w:bookmarkEnd w:id="240"/>
      <w:r w:rsidRPr="0044415E">
        <w:t>mation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00D04E8C" w:rsidRPr="0044415E">
        <w:fldChar w:fldCharType="begin"/>
      </w:r>
      <w:r w:rsidRPr="0044415E">
        <w:instrText>xe "Outcome and output information"</w:instrText>
      </w:r>
      <w:r w:rsidR="00D04E8C" w:rsidRPr="0044415E">
        <w:fldChar w:fldCharType="end"/>
      </w:r>
    </w:p>
    <w:p w14:paraId="571C6AE1" w14:textId="77777777" w:rsidR="00B928C4" w:rsidRPr="00B96665" w:rsidRDefault="00B928C4" w:rsidP="00286051">
      <w:pPr>
        <w:pStyle w:val="Heading3"/>
      </w:pPr>
      <w:bookmarkStart w:id="241" w:name="_Toc143338238"/>
      <w:bookmarkStart w:id="242" w:name="_Toc143340304"/>
      <w:bookmarkStart w:id="243" w:name="_Toc143418678"/>
      <w:bookmarkStart w:id="244" w:name="_Toc143420187"/>
      <w:bookmarkStart w:id="245" w:name="_Toc177204261"/>
      <w:bookmarkStart w:id="246" w:name="_Toc204589472"/>
      <w:bookmarkStart w:id="247" w:name="_Toc204590146"/>
      <w:bookmarkStart w:id="248" w:name="_Toc204591232"/>
      <w:bookmarkStart w:id="249" w:name="_Toc204591291"/>
      <w:bookmarkStart w:id="250" w:name="_Toc204591404"/>
      <w:bookmarkStart w:id="251" w:name="_Toc207163421"/>
      <w:bookmarkStart w:id="252" w:name="_Toc332277171"/>
      <w:bookmarkStart w:id="253" w:name="_Toc204589483"/>
      <w:r w:rsidRPr="00B96665">
        <w:t xml:space="preserve">Organisational </w:t>
      </w:r>
      <w:bookmarkEnd w:id="241"/>
      <w:bookmarkEnd w:id="242"/>
      <w:bookmarkEnd w:id="243"/>
      <w:bookmarkEnd w:id="244"/>
      <w:bookmarkEnd w:id="245"/>
      <w:bookmarkEnd w:id="246"/>
      <w:bookmarkEnd w:id="247"/>
      <w:bookmarkEnd w:id="248"/>
      <w:bookmarkEnd w:id="249"/>
      <w:bookmarkEnd w:id="250"/>
      <w:bookmarkEnd w:id="251"/>
      <w:r>
        <w:t>budget</w:t>
      </w:r>
      <w:bookmarkEnd w:id="252"/>
    </w:p>
    <w:p w14:paraId="571C6AE2" w14:textId="77B814A0" w:rsidR="00B928C4" w:rsidRDefault="00B928C4" w:rsidP="00106449">
      <w:r w:rsidRPr="00B96665">
        <w:t>The Panel</w:t>
      </w:r>
      <w:r w:rsidR="008941F8">
        <w:t>’</w:t>
      </w:r>
      <w:r w:rsidRPr="00B96665">
        <w:t>s funding is included in Treasury</w:t>
      </w:r>
      <w:r w:rsidR="00A359DB" w:rsidRPr="00B96665">
        <w:fldChar w:fldCharType="begin"/>
      </w:r>
      <w:r w:rsidR="00A359DB" w:rsidRPr="00B96665">
        <w:instrText>xe "Treasury"</w:instrText>
      </w:r>
      <w:r w:rsidR="00A359DB" w:rsidRPr="00B96665">
        <w:fldChar w:fldCharType="end"/>
      </w:r>
      <w:r w:rsidR="008941F8">
        <w:t>‘</w:t>
      </w:r>
      <w:r w:rsidRPr="00B96665">
        <w:t xml:space="preserve">s budget. The Panel </w:t>
      </w:r>
      <w:r>
        <w:t xml:space="preserve">relies on </w:t>
      </w:r>
      <w:r w:rsidRPr="00B96665">
        <w:t>Treasury</w:t>
      </w:r>
      <w:r w:rsidR="008941F8">
        <w:t>’</w:t>
      </w:r>
      <w:r w:rsidRPr="00B96665">
        <w:t>s administrative infrastructure and processes.</w:t>
      </w:r>
    </w:p>
    <w:p w14:paraId="571C6AE3" w14:textId="77777777" w:rsidR="00B928C4" w:rsidRPr="00603084" w:rsidRDefault="00B928C4" w:rsidP="00286051">
      <w:pPr>
        <w:pStyle w:val="Heading3"/>
      </w:pPr>
      <w:bookmarkStart w:id="254" w:name="_Toc204589477"/>
      <w:r w:rsidRPr="00603084">
        <w:lastRenderedPageBreak/>
        <w:t>Treasury</w:t>
      </w:r>
      <w:r w:rsidRPr="00603084">
        <w:fldChar w:fldCharType="begin"/>
      </w:r>
      <w:r w:rsidRPr="00603084">
        <w:instrText>xe "Treasury"</w:instrText>
      </w:r>
      <w:r w:rsidRPr="00603084">
        <w:fldChar w:fldCharType="end"/>
      </w:r>
      <w:r w:rsidRPr="00603084">
        <w:t xml:space="preserve"> accountability</w:t>
      </w:r>
      <w:bookmarkEnd w:id="254"/>
    </w:p>
    <w:p w14:paraId="571C6AE4" w14:textId="18D6B41C" w:rsidR="00B928C4" w:rsidRPr="009448D8" w:rsidRDefault="00B928C4" w:rsidP="00106449">
      <w:pPr>
        <w:rPr>
          <w:highlight w:val="lightGray"/>
        </w:rPr>
      </w:pPr>
      <w:r w:rsidRPr="00603084">
        <w:t xml:space="preserve">The </w:t>
      </w:r>
      <w:r w:rsidR="00E26EF5">
        <w:t>Chief Executive</w:t>
      </w:r>
      <w:r w:rsidRPr="00603084">
        <w:t xml:space="preserve"> provides monthly reports on financial and operational issues to the President and to the </w:t>
      </w:r>
      <w:r w:rsidR="004B418E">
        <w:t>Deputy Secretary</w:t>
      </w:r>
      <w:r w:rsidRPr="00603084">
        <w:t>, Markets Group in Treasury</w:t>
      </w:r>
      <w:r w:rsidR="003A26E2">
        <w:t>.</w:t>
      </w:r>
    </w:p>
    <w:p w14:paraId="571C6AE5" w14:textId="48B6B463" w:rsidR="006555DE" w:rsidRPr="00AC1F1B" w:rsidRDefault="006555DE" w:rsidP="00286051">
      <w:pPr>
        <w:pStyle w:val="Heading3"/>
      </w:pPr>
      <w:r w:rsidRPr="00D671FF">
        <w:t xml:space="preserve">Outcome and </w:t>
      </w:r>
      <w:r w:rsidR="0003250A" w:rsidRPr="00D671FF">
        <w:t xml:space="preserve">program </w:t>
      </w:r>
      <w:r w:rsidRPr="00D671FF">
        <w:t>structure</w:t>
      </w:r>
      <w:bookmarkEnd w:id="253"/>
    </w:p>
    <w:p w14:paraId="571C6AE6" w14:textId="62515843" w:rsidR="00FE3327" w:rsidRPr="0003250A" w:rsidRDefault="006555DE" w:rsidP="00FE3327">
      <w:pPr>
        <w:rPr>
          <w:i/>
        </w:rPr>
      </w:pPr>
      <w:r w:rsidRPr="0003250A">
        <w:t>In the current period, the Panel</w:t>
      </w:r>
      <w:r w:rsidR="008941F8">
        <w:t>’</w:t>
      </w:r>
      <w:r w:rsidRPr="0003250A">
        <w:t>s functions contributed to Treasury</w:t>
      </w:r>
      <w:r w:rsidR="008941F8">
        <w:t>’</w:t>
      </w:r>
      <w:r w:rsidRPr="0003250A">
        <w:t>s Outcome</w:t>
      </w:r>
      <w:r w:rsidR="00650385" w:rsidRPr="0003250A">
        <w:t xml:space="preserve"> 1</w:t>
      </w:r>
      <w:r w:rsidRPr="0003250A">
        <w:t>:</w:t>
      </w:r>
      <w:r w:rsidR="00EF26D8" w:rsidRPr="0003250A">
        <w:t xml:space="preserve"> </w:t>
      </w:r>
      <w:r w:rsidR="008941F8" w:rsidRPr="004300F4">
        <w:rPr>
          <w:rStyle w:val="Emphasis"/>
        </w:rPr>
        <w:t>‘</w:t>
      </w:r>
      <w:r w:rsidR="00FE3327" w:rsidRPr="004300F4">
        <w:rPr>
          <w:rStyle w:val="Emphasis"/>
        </w:rPr>
        <w:t>Supporting and implementing informed decisions on policies for the good of the Australian people, including for achieving strong, sustainable economic growth, through the provision of advice to Treasury Ministers and the efficient administration of Treasury</w:t>
      </w:r>
      <w:r w:rsidR="008941F8" w:rsidRPr="004300F4">
        <w:rPr>
          <w:rStyle w:val="Emphasis"/>
        </w:rPr>
        <w:t>’</w:t>
      </w:r>
      <w:r w:rsidR="00FE3327" w:rsidRPr="004300F4">
        <w:rPr>
          <w:rStyle w:val="Emphasis"/>
        </w:rPr>
        <w:t>s functions.</w:t>
      </w:r>
      <w:r w:rsidR="008941F8" w:rsidRPr="004300F4">
        <w:rPr>
          <w:rStyle w:val="Emphasis"/>
        </w:rPr>
        <w:t>’</w:t>
      </w:r>
    </w:p>
    <w:p w14:paraId="571C6AE7" w14:textId="4EFED5AE" w:rsidR="00B94C1D" w:rsidRPr="00893F91" w:rsidRDefault="006555DE" w:rsidP="008F4D3F">
      <w:r w:rsidRPr="0003250A">
        <w:t>The Panel</w:t>
      </w:r>
      <w:r w:rsidR="008941F8">
        <w:t>’</w:t>
      </w:r>
      <w:r w:rsidRPr="0003250A">
        <w:t xml:space="preserve">s outputs contribute </w:t>
      </w:r>
      <w:r w:rsidR="005E78F9" w:rsidRPr="0003250A">
        <w:t>to</w:t>
      </w:r>
      <w:r w:rsidRPr="0003250A">
        <w:t xml:space="preserve"> </w:t>
      </w:r>
      <w:r w:rsidR="00511454" w:rsidRPr="0003250A">
        <w:t>Treasury</w:t>
      </w:r>
      <w:r w:rsidR="008941F8">
        <w:t>’</w:t>
      </w:r>
      <w:r w:rsidR="00511454" w:rsidRPr="0003250A">
        <w:t xml:space="preserve">s </w:t>
      </w:r>
      <w:r w:rsidR="00010AA0" w:rsidRPr="0003250A">
        <w:t>Program</w:t>
      </w:r>
      <w:r w:rsidRPr="0003250A">
        <w:t xml:space="preserve"> 1.</w:t>
      </w:r>
      <w:r w:rsidR="00650385" w:rsidRPr="0003250A">
        <w:t>1</w:t>
      </w:r>
      <w:r w:rsidRPr="0003250A">
        <w:t xml:space="preserve">: </w:t>
      </w:r>
      <w:bookmarkStart w:id="255" w:name="_Toc497132807"/>
      <w:bookmarkStart w:id="256" w:name="_Toc496956321"/>
      <w:bookmarkStart w:id="257" w:name="_Toc496956583"/>
      <w:bookmarkStart w:id="258" w:name="_Toc143340633"/>
      <w:bookmarkStart w:id="259" w:name="_Toc176854664"/>
      <w:bookmarkStart w:id="260" w:name="_Toc207510585"/>
      <w:r w:rsidR="00511454" w:rsidRPr="0003250A">
        <w:t>Department of the Treasury.</w:t>
      </w:r>
    </w:p>
    <w:p w14:paraId="571C6AE8" w14:textId="4206DD70" w:rsidR="00283F06" w:rsidRPr="00D878F1" w:rsidRDefault="00CC73CE" w:rsidP="00946668">
      <w:pPr>
        <w:pStyle w:val="TableMainHeading"/>
      </w:pPr>
      <w:bookmarkStart w:id="261" w:name="_Toc146790814"/>
      <w:r w:rsidRPr="00D878F1">
        <w:t>Table </w:t>
      </w:r>
      <w:r w:rsidR="002D2C29">
        <w:t>6</w:t>
      </w:r>
      <w:r w:rsidR="006555DE" w:rsidRPr="00D878F1">
        <w:t xml:space="preserve">: </w:t>
      </w:r>
      <w:r w:rsidR="00431215" w:rsidRPr="00D878F1">
        <w:t xml:space="preserve">Summary </w:t>
      </w:r>
      <w:bookmarkEnd w:id="255"/>
      <w:bookmarkEnd w:id="256"/>
      <w:bookmarkEnd w:id="257"/>
      <w:bookmarkEnd w:id="258"/>
      <w:bookmarkEnd w:id="259"/>
      <w:bookmarkEnd w:id="260"/>
      <w:r w:rsidR="00431215" w:rsidRPr="00D878F1">
        <w:t>resource statement</w:t>
      </w:r>
      <w:bookmarkEnd w:id="261"/>
    </w:p>
    <w:tbl>
      <w:tblPr>
        <w:tblW w:w="5000" w:type="pct"/>
        <w:tblCellMar>
          <w:left w:w="85" w:type="dxa"/>
          <w:right w:w="85" w:type="dxa"/>
        </w:tblCellMar>
        <w:tblLook w:val="0000" w:firstRow="0" w:lastRow="0" w:firstColumn="0" w:lastColumn="0" w:noHBand="0" w:noVBand="0"/>
      </w:tblPr>
      <w:tblGrid>
        <w:gridCol w:w="4240"/>
        <w:gridCol w:w="1157"/>
        <w:gridCol w:w="1157"/>
        <w:gridCol w:w="1157"/>
      </w:tblGrid>
      <w:tr w:rsidR="00D878F1" w:rsidRPr="00893F91" w14:paraId="1DBD1038" w14:textId="77777777" w:rsidTr="0087175E">
        <w:trPr>
          <w:trHeight w:val="663"/>
        </w:trPr>
        <w:tc>
          <w:tcPr>
            <w:tcW w:w="2749" w:type="pct"/>
            <w:tcBorders>
              <w:top w:val="single" w:sz="4" w:space="0" w:color="auto"/>
            </w:tcBorders>
          </w:tcPr>
          <w:bookmarkStart w:id="262" w:name="_Toc143338242"/>
          <w:bookmarkStart w:id="263" w:name="_Toc143340308"/>
          <w:bookmarkStart w:id="264" w:name="_Toc143418683"/>
          <w:bookmarkStart w:id="265" w:name="_Toc143420191"/>
          <w:bookmarkStart w:id="266" w:name="_Toc177204265"/>
          <w:bookmarkStart w:id="267" w:name="_Toc204589487"/>
          <w:bookmarkStart w:id="268" w:name="_Toc204590150"/>
          <w:bookmarkStart w:id="269" w:name="_Toc204589486"/>
          <w:p w14:paraId="00A3B49F" w14:textId="77777777" w:rsidR="00D878F1" w:rsidRPr="00893F91" w:rsidRDefault="00D878F1" w:rsidP="0087175E">
            <w:pPr>
              <w:pStyle w:val="TableColumnHeadingRight-ArialBold"/>
            </w:pPr>
            <w:r w:rsidRPr="00893F91">
              <w:fldChar w:fldCharType="begin"/>
            </w:r>
            <w:r w:rsidRPr="00893F91">
              <w:instrText>xe "Price of agency outputs"</w:instrText>
            </w:r>
            <w:r w:rsidRPr="00893F91">
              <w:fldChar w:fldCharType="end"/>
            </w:r>
          </w:p>
        </w:tc>
        <w:tc>
          <w:tcPr>
            <w:tcW w:w="750" w:type="pct"/>
            <w:tcBorders>
              <w:top w:val="single" w:sz="4" w:space="0" w:color="auto"/>
            </w:tcBorders>
          </w:tcPr>
          <w:p w14:paraId="2354E279" w14:textId="77777777" w:rsidR="00D878F1" w:rsidRPr="00893F91" w:rsidRDefault="00D878F1" w:rsidP="0087175E">
            <w:pPr>
              <w:pStyle w:val="TableColumnHeadingRight-ArialBold"/>
            </w:pPr>
            <w:r w:rsidRPr="00893F91">
              <w:t>Actual budget allocation</w:t>
            </w:r>
          </w:p>
        </w:tc>
        <w:tc>
          <w:tcPr>
            <w:tcW w:w="750" w:type="pct"/>
            <w:tcBorders>
              <w:top w:val="single" w:sz="4" w:space="0" w:color="auto"/>
            </w:tcBorders>
          </w:tcPr>
          <w:p w14:paraId="0A8103F8" w14:textId="77777777" w:rsidR="00D878F1" w:rsidRPr="00893F91" w:rsidRDefault="00D878F1" w:rsidP="0087175E">
            <w:pPr>
              <w:pStyle w:val="TableColumnHeadingRight-ArialBold"/>
            </w:pPr>
            <w:r w:rsidRPr="00893F91">
              <w:br/>
            </w:r>
            <w:r w:rsidRPr="00893F91">
              <w:br/>
              <w:t>Expenses</w:t>
            </w:r>
          </w:p>
        </w:tc>
        <w:tc>
          <w:tcPr>
            <w:tcW w:w="750" w:type="pct"/>
            <w:tcBorders>
              <w:top w:val="single" w:sz="4" w:space="0" w:color="auto"/>
            </w:tcBorders>
            <w:shd w:val="clear" w:color="auto" w:fill="auto"/>
          </w:tcPr>
          <w:p w14:paraId="1281EF11" w14:textId="77777777" w:rsidR="00D878F1" w:rsidRPr="00893F91" w:rsidRDefault="00D878F1" w:rsidP="0087175E">
            <w:pPr>
              <w:pStyle w:val="TableColumnHeadingRight-ArialBold"/>
            </w:pPr>
            <w:r w:rsidRPr="00893F91">
              <w:br/>
              <w:t>Balance remaining</w:t>
            </w:r>
          </w:p>
        </w:tc>
      </w:tr>
      <w:tr w:rsidR="00D878F1" w:rsidRPr="00893F91" w14:paraId="480BDDDB" w14:textId="77777777" w:rsidTr="0087175E">
        <w:trPr>
          <w:trHeight w:val="343"/>
        </w:trPr>
        <w:tc>
          <w:tcPr>
            <w:tcW w:w="2749" w:type="pct"/>
          </w:tcPr>
          <w:p w14:paraId="7923F68A" w14:textId="77777777" w:rsidR="00D878F1" w:rsidRPr="00893F91" w:rsidRDefault="00D878F1" w:rsidP="0087175E">
            <w:pPr>
              <w:pStyle w:val="TableColumnHeadingRight-ArialBold"/>
            </w:pPr>
          </w:p>
        </w:tc>
        <w:tc>
          <w:tcPr>
            <w:tcW w:w="750" w:type="pct"/>
            <w:tcBorders>
              <w:bottom w:val="single" w:sz="2" w:space="0" w:color="000000"/>
            </w:tcBorders>
          </w:tcPr>
          <w:p w14:paraId="73B60B8C" w14:textId="51CB9082" w:rsidR="00D878F1" w:rsidRPr="00893F91" w:rsidRDefault="00D878F1" w:rsidP="0087175E">
            <w:pPr>
              <w:pStyle w:val="TableColumnHeadingRight-ArialBold"/>
            </w:pPr>
            <w:r>
              <w:t>2023–24</w:t>
            </w:r>
            <w:r w:rsidRPr="00893F91">
              <w:br/>
              <w:t>($</w:t>
            </w:r>
            <w:r w:rsidR="008941F8">
              <w:t>’</w:t>
            </w:r>
            <w:r w:rsidRPr="00893F91">
              <w:t>000)</w:t>
            </w:r>
          </w:p>
        </w:tc>
        <w:tc>
          <w:tcPr>
            <w:tcW w:w="750" w:type="pct"/>
            <w:tcBorders>
              <w:bottom w:val="single" w:sz="2" w:space="0" w:color="000000"/>
            </w:tcBorders>
          </w:tcPr>
          <w:p w14:paraId="29E5E263" w14:textId="369E572F" w:rsidR="00D878F1" w:rsidRPr="00893F91" w:rsidRDefault="00D878F1" w:rsidP="0087175E">
            <w:pPr>
              <w:pStyle w:val="TableColumnHeadingRight-ArialBold"/>
            </w:pPr>
            <w:r>
              <w:t>2023–24</w:t>
            </w:r>
            <w:r w:rsidRPr="00893F91">
              <w:br/>
              <w:t>($</w:t>
            </w:r>
            <w:r w:rsidR="008941F8">
              <w:t>’</w:t>
            </w:r>
            <w:r w:rsidRPr="00893F91">
              <w:t>000)</w:t>
            </w:r>
          </w:p>
        </w:tc>
        <w:tc>
          <w:tcPr>
            <w:tcW w:w="750" w:type="pct"/>
            <w:tcBorders>
              <w:bottom w:val="single" w:sz="2" w:space="0" w:color="000000"/>
            </w:tcBorders>
            <w:shd w:val="clear" w:color="auto" w:fill="auto"/>
          </w:tcPr>
          <w:p w14:paraId="732AB26C" w14:textId="12F5120B" w:rsidR="00D878F1" w:rsidRPr="00893F91" w:rsidRDefault="00D878F1" w:rsidP="0087175E">
            <w:pPr>
              <w:pStyle w:val="TableColumnHeadingRight-ArialBold"/>
            </w:pPr>
            <w:r>
              <w:t>2023–24</w:t>
            </w:r>
            <w:r w:rsidRPr="00893F91">
              <w:br/>
              <w:t>($</w:t>
            </w:r>
            <w:r w:rsidR="008941F8">
              <w:t>’</w:t>
            </w:r>
            <w:r w:rsidRPr="00893F91">
              <w:t>000</w:t>
            </w:r>
            <w:r>
              <w:t>)</w:t>
            </w:r>
          </w:p>
        </w:tc>
      </w:tr>
      <w:tr w:rsidR="00D878F1" w:rsidRPr="00893F91" w14:paraId="3AF87BC8" w14:textId="77777777" w:rsidTr="0087175E">
        <w:trPr>
          <w:trHeight w:val="376"/>
        </w:trPr>
        <w:tc>
          <w:tcPr>
            <w:tcW w:w="2749" w:type="pct"/>
          </w:tcPr>
          <w:p w14:paraId="0A4B07E2" w14:textId="77777777" w:rsidR="00D878F1" w:rsidRPr="00893F91" w:rsidRDefault="00D878F1" w:rsidP="0087175E">
            <w:pPr>
              <w:pStyle w:val="TableTextLeft-ArialBoldHeading"/>
            </w:pPr>
            <w:r w:rsidRPr="00893F91">
              <w:t xml:space="preserve">Revenue </w:t>
            </w:r>
          </w:p>
        </w:tc>
        <w:tc>
          <w:tcPr>
            <w:tcW w:w="750" w:type="pct"/>
            <w:tcBorders>
              <w:top w:val="single" w:sz="2" w:space="0" w:color="000000"/>
              <w:bottom w:val="single" w:sz="2" w:space="0" w:color="000000"/>
            </w:tcBorders>
          </w:tcPr>
          <w:p w14:paraId="7B7A1D19" w14:textId="77777777" w:rsidR="00D878F1" w:rsidRPr="00893F91" w:rsidRDefault="00D878F1" w:rsidP="0087175E">
            <w:pPr>
              <w:pStyle w:val="TableTextLeft-ArialBoldHeading"/>
            </w:pPr>
          </w:p>
        </w:tc>
        <w:tc>
          <w:tcPr>
            <w:tcW w:w="750" w:type="pct"/>
            <w:tcBorders>
              <w:top w:val="single" w:sz="2" w:space="0" w:color="000000"/>
              <w:bottom w:val="single" w:sz="2" w:space="0" w:color="000000"/>
            </w:tcBorders>
          </w:tcPr>
          <w:p w14:paraId="16BB4A89" w14:textId="77777777" w:rsidR="00D878F1" w:rsidRPr="00893F91" w:rsidRDefault="00D878F1" w:rsidP="0087175E">
            <w:pPr>
              <w:pStyle w:val="TableTextLeft-ArialBoldHeading"/>
            </w:pPr>
          </w:p>
        </w:tc>
        <w:tc>
          <w:tcPr>
            <w:tcW w:w="750" w:type="pct"/>
            <w:tcBorders>
              <w:top w:val="single" w:sz="2" w:space="0" w:color="000000"/>
              <w:bottom w:val="single" w:sz="2" w:space="0" w:color="000000"/>
            </w:tcBorders>
            <w:shd w:val="clear" w:color="auto" w:fill="auto"/>
          </w:tcPr>
          <w:p w14:paraId="2A272663" w14:textId="77777777" w:rsidR="00D878F1" w:rsidRPr="00893F91" w:rsidRDefault="00D878F1" w:rsidP="0087175E">
            <w:pPr>
              <w:pStyle w:val="TableTextLeft-ArialBoldHeading"/>
            </w:pPr>
          </w:p>
        </w:tc>
      </w:tr>
      <w:tr w:rsidR="00D878F1" w:rsidRPr="00893F91" w14:paraId="1F06A63E" w14:textId="77777777" w:rsidTr="0087175E">
        <w:trPr>
          <w:trHeight w:val="422"/>
        </w:trPr>
        <w:tc>
          <w:tcPr>
            <w:tcW w:w="2749" w:type="pct"/>
          </w:tcPr>
          <w:p w14:paraId="69B17CFF" w14:textId="77777777" w:rsidR="00D878F1" w:rsidRPr="00893F91" w:rsidRDefault="00D878F1" w:rsidP="0087175E">
            <w:pPr>
              <w:pStyle w:val="TableTextLeft-ArialIndented"/>
              <w:spacing w:before="70" w:after="70"/>
            </w:pPr>
            <w:r w:rsidRPr="00893F91">
              <w:t>Revenue (Department of the Treasury budget allocation and section 74 relevant agency receipts)</w:t>
            </w:r>
          </w:p>
        </w:tc>
        <w:tc>
          <w:tcPr>
            <w:tcW w:w="750" w:type="pct"/>
            <w:tcBorders>
              <w:top w:val="single" w:sz="2" w:space="0" w:color="000000"/>
              <w:bottom w:val="single" w:sz="2" w:space="0" w:color="000000"/>
            </w:tcBorders>
          </w:tcPr>
          <w:p w14:paraId="59153E91" w14:textId="77777777" w:rsidR="00D878F1" w:rsidRPr="00893F91" w:rsidRDefault="00D878F1" w:rsidP="0087175E">
            <w:pPr>
              <w:pStyle w:val="TableTextRight-Arial"/>
            </w:pPr>
            <w:r>
              <w:t>2,745</w:t>
            </w:r>
          </w:p>
        </w:tc>
        <w:tc>
          <w:tcPr>
            <w:tcW w:w="750" w:type="pct"/>
            <w:tcBorders>
              <w:top w:val="single" w:sz="2" w:space="0" w:color="000000"/>
              <w:bottom w:val="single" w:sz="2" w:space="0" w:color="000000"/>
            </w:tcBorders>
          </w:tcPr>
          <w:p w14:paraId="1F0E2B27" w14:textId="77777777" w:rsidR="00D878F1" w:rsidRPr="00893F91" w:rsidRDefault="00D878F1" w:rsidP="0087175E">
            <w:pPr>
              <w:pStyle w:val="TableTextRight-Arial"/>
            </w:pPr>
            <w:r>
              <w:t>2,426</w:t>
            </w:r>
          </w:p>
        </w:tc>
        <w:tc>
          <w:tcPr>
            <w:tcW w:w="750" w:type="pct"/>
            <w:tcBorders>
              <w:top w:val="single" w:sz="2" w:space="0" w:color="000000"/>
              <w:bottom w:val="single" w:sz="2" w:space="0" w:color="000000"/>
            </w:tcBorders>
            <w:shd w:val="clear" w:color="auto" w:fill="auto"/>
          </w:tcPr>
          <w:p w14:paraId="7D9A2EE9" w14:textId="77777777" w:rsidR="00D878F1" w:rsidRPr="00893F91" w:rsidRDefault="00D878F1" w:rsidP="0087175E">
            <w:pPr>
              <w:pStyle w:val="TableTextRight-Arial"/>
            </w:pPr>
            <w:r>
              <w:t>319</w:t>
            </w:r>
          </w:p>
        </w:tc>
      </w:tr>
      <w:tr w:rsidR="00D878F1" w:rsidRPr="00893F91" w14:paraId="447FE288" w14:textId="77777777" w:rsidTr="0087175E">
        <w:trPr>
          <w:trHeight w:val="286"/>
        </w:trPr>
        <w:tc>
          <w:tcPr>
            <w:tcW w:w="2749" w:type="pct"/>
            <w:tcBorders>
              <w:bottom w:val="single" w:sz="4" w:space="0" w:color="auto"/>
            </w:tcBorders>
          </w:tcPr>
          <w:p w14:paraId="5D246D44" w14:textId="77777777" w:rsidR="00D878F1" w:rsidRPr="00893F91" w:rsidRDefault="00D878F1" w:rsidP="0087175E">
            <w:pPr>
              <w:pStyle w:val="TableTextLeft-ArialBold"/>
            </w:pPr>
            <w:r w:rsidRPr="00893F91">
              <w:t>Total resourcing</w:t>
            </w:r>
          </w:p>
        </w:tc>
        <w:tc>
          <w:tcPr>
            <w:tcW w:w="750" w:type="pct"/>
            <w:tcBorders>
              <w:top w:val="single" w:sz="2" w:space="0" w:color="000000"/>
              <w:bottom w:val="single" w:sz="4" w:space="0" w:color="auto"/>
            </w:tcBorders>
          </w:tcPr>
          <w:p w14:paraId="5980B440" w14:textId="77777777" w:rsidR="00D878F1" w:rsidRPr="00893F91" w:rsidRDefault="00D878F1" w:rsidP="0087175E">
            <w:pPr>
              <w:pStyle w:val="TableTextRight-ArialBold"/>
            </w:pPr>
            <w:r>
              <w:t>2,745</w:t>
            </w:r>
          </w:p>
        </w:tc>
        <w:tc>
          <w:tcPr>
            <w:tcW w:w="750" w:type="pct"/>
            <w:tcBorders>
              <w:top w:val="single" w:sz="2" w:space="0" w:color="000000"/>
              <w:bottom w:val="single" w:sz="2" w:space="0" w:color="000000"/>
            </w:tcBorders>
          </w:tcPr>
          <w:p w14:paraId="398FE054" w14:textId="77777777" w:rsidR="00D878F1" w:rsidRPr="00893F91" w:rsidRDefault="00D878F1" w:rsidP="0087175E">
            <w:pPr>
              <w:pStyle w:val="TableTextRight-ArialBold"/>
            </w:pPr>
            <w:r>
              <w:t>2,426</w:t>
            </w:r>
          </w:p>
        </w:tc>
        <w:tc>
          <w:tcPr>
            <w:tcW w:w="750" w:type="pct"/>
            <w:tcBorders>
              <w:top w:val="single" w:sz="2" w:space="0" w:color="000000"/>
              <w:bottom w:val="single" w:sz="2" w:space="0" w:color="000000"/>
            </w:tcBorders>
            <w:shd w:val="clear" w:color="auto" w:fill="auto"/>
          </w:tcPr>
          <w:p w14:paraId="5F9DD1A0" w14:textId="77777777" w:rsidR="00D878F1" w:rsidRPr="00893F91" w:rsidRDefault="00D878F1" w:rsidP="0087175E">
            <w:pPr>
              <w:pStyle w:val="TableTextRight-ArialBold"/>
            </w:pPr>
            <w:r>
              <w:t>319</w:t>
            </w:r>
          </w:p>
        </w:tc>
      </w:tr>
    </w:tbl>
    <w:p w14:paraId="571C6B0B" w14:textId="77777777" w:rsidR="00283F06" w:rsidRDefault="00283F06" w:rsidP="00575500">
      <w:pPr>
        <w:pStyle w:val="SingleParagraph"/>
      </w:pPr>
    </w:p>
    <w:tbl>
      <w:tblPr>
        <w:tblW w:w="5000" w:type="pct"/>
        <w:tblCellMar>
          <w:left w:w="85" w:type="dxa"/>
          <w:right w:w="85" w:type="dxa"/>
        </w:tblCellMar>
        <w:tblLook w:val="0000" w:firstRow="0" w:lastRow="0" w:firstColumn="0" w:lastColumn="0" w:noHBand="0" w:noVBand="0"/>
      </w:tblPr>
      <w:tblGrid>
        <w:gridCol w:w="5397"/>
        <w:gridCol w:w="1157"/>
        <w:gridCol w:w="1157"/>
      </w:tblGrid>
      <w:tr w:rsidR="00D878F1" w:rsidRPr="00893F91" w14:paraId="510C2370" w14:textId="77777777" w:rsidTr="0087175E">
        <w:tc>
          <w:tcPr>
            <w:tcW w:w="3500" w:type="pct"/>
            <w:tcBorders>
              <w:top w:val="single" w:sz="2" w:space="0" w:color="000000"/>
            </w:tcBorders>
          </w:tcPr>
          <w:p w14:paraId="40263C18" w14:textId="77777777" w:rsidR="00D878F1" w:rsidRPr="00893F91" w:rsidRDefault="00D878F1" w:rsidP="0087175E">
            <w:pPr>
              <w:pStyle w:val="TableColumnHeadingRight-ArialBold"/>
            </w:pPr>
          </w:p>
        </w:tc>
        <w:tc>
          <w:tcPr>
            <w:tcW w:w="750" w:type="pct"/>
            <w:tcBorders>
              <w:top w:val="single" w:sz="2" w:space="0" w:color="000000"/>
              <w:bottom w:val="single" w:sz="2" w:space="0" w:color="000000"/>
            </w:tcBorders>
          </w:tcPr>
          <w:p w14:paraId="15DC2E9A" w14:textId="77777777" w:rsidR="00D878F1" w:rsidRPr="00893F91" w:rsidRDefault="00D878F1" w:rsidP="0087175E">
            <w:pPr>
              <w:pStyle w:val="TableColumnHeadingRight-ArialBold"/>
            </w:pPr>
            <w:r>
              <w:t>2023–24</w:t>
            </w:r>
          </w:p>
        </w:tc>
        <w:tc>
          <w:tcPr>
            <w:tcW w:w="750" w:type="pct"/>
            <w:tcBorders>
              <w:top w:val="single" w:sz="2" w:space="0" w:color="000000"/>
              <w:bottom w:val="single" w:sz="2" w:space="0" w:color="000000"/>
            </w:tcBorders>
            <w:shd w:val="clear" w:color="auto" w:fill="E6E6E6"/>
          </w:tcPr>
          <w:p w14:paraId="3AF4812B" w14:textId="77777777" w:rsidR="00D878F1" w:rsidRPr="00893F91" w:rsidRDefault="00D878F1" w:rsidP="0087175E">
            <w:pPr>
              <w:pStyle w:val="TableColumnHeadingRight-ArialBold"/>
            </w:pPr>
            <w:r>
              <w:t>2024–25</w:t>
            </w:r>
          </w:p>
        </w:tc>
      </w:tr>
      <w:tr w:rsidR="00D878F1" w:rsidRPr="0003547B" w14:paraId="4D307350" w14:textId="77777777" w:rsidTr="0087175E">
        <w:tc>
          <w:tcPr>
            <w:tcW w:w="3500" w:type="pct"/>
            <w:tcBorders>
              <w:bottom w:val="single" w:sz="2" w:space="0" w:color="000000"/>
            </w:tcBorders>
          </w:tcPr>
          <w:p w14:paraId="59B87134" w14:textId="77777777" w:rsidR="00D878F1" w:rsidRPr="00893F91" w:rsidRDefault="00D878F1" w:rsidP="0087175E">
            <w:pPr>
              <w:pStyle w:val="TableTextLeft-ArialBold"/>
            </w:pPr>
            <w:r w:rsidRPr="00893F91">
              <w:t>Average staffing levels (number)</w:t>
            </w:r>
          </w:p>
        </w:tc>
        <w:tc>
          <w:tcPr>
            <w:tcW w:w="750" w:type="pct"/>
            <w:tcBorders>
              <w:bottom w:val="single" w:sz="2" w:space="0" w:color="000000"/>
            </w:tcBorders>
          </w:tcPr>
          <w:p w14:paraId="13DBB8DA" w14:textId="77777777" w:rsidR="00D878F1" w:rsidRPr="00893F91" w:rsidRDefault="00D878F1" w:rsidP="0087175E">
            <w:pPr>
              <w:pStyle w:val="TableTextRight-Arial"/>
            </w:pPr>
            <w:r>
              <w:t>7.5</w:t>
            </w:r>
          </w:p>
        </w:tc>
        <w:tc>
          <w:tcPr>
            <w:tcW w:w="750" w:type="pct"/>
            <w:tcBorders>
              <w:top w:val="single" w:sz="2" w:space="0" w:color="000000"/>
              <w:bottom w:val="single" w:sz="2" w:space="0" w:color="000000"/>
            </w:tcBorders>
            <w:shd w:val="clear" w:color="auto" w:fill="E6E6E6"/>
          </w:tcPr>
          <w:p w14:paraId="6F4F3851" w14:textId="77777777" w:rsidR="00D878F1" w:rsidRPr="009764CC" w:rsidRDefault="00D878F1" w:rsidP="0087175E">
            <w:pPr>
              <w:pStyle w:val="TableTextRight-Arial"/>
            </w:pPr>
            <w:r>
              <w:t>8.0</w:t>
            </w:r>
          </w:p>
        </w:tc>
      </w:tr>
    </w:tbl>
    <w:p w14:paraId="1C82A6CA" w14:textId="77777777" w:rsidR="00D878F1" w:rsidRDefault="00D878F1" w:rsidP="00575500">
      <w:pPr>
        <w:pStyle w:val="SingleParagraph"/>
      </w:pPr>
    </w:p>
    <w:p w14:paraId="571C6B0C" w14:textId="77777777" w:rsidR="006555DE" w:rsidRPr="003E768B" w:rsidRDefault="006555DE" w:rsidP="00B52606">
      <w:pPr>
        <w:pStyle w:val="Heading3"/>
      </w:pPr>
      <w:r w:rsidRPr="00B52606">
        <w:t>Treasury</w:t>
      </w:r>
      <w:r w:rsidR="00D04E8C" w:rsidRPr="003E768B">
        <w:fldChar w:fldCharType="begin"/>
      </w:r>
      <w:r w:rsidRPr="003E768B">
        <w:instrText>xe "Treasury"</w:instrText>
      </w:r>
      <w:r w:rsidR="00D04E8C" w:rsidRPr="003E768B">
        <w:fldChar w:fldCharType="end"/>
      </w:r>
      <w:r w:rsidRPr="003E768B">
        <w:t xml:space="preserve"> outcome</w:t>
      </w:r>
      <w:bookmarkEnd w:id="262"/>
      <w:bookmarkEnd w:id="263"/>
      <w:bookmarkEnd w:id="264"/>
      <w:bookmarkEnd w:id="265"/>
      <w:bookmarkEnd w:id="266"/>
      <w:bookmarkEnd w:id="267"/>
      <w:bookmarkEnd w:id="268"/>
    </w:p>
    <w:p w14:paraId="571C6B0D" w14:textId="4E4EF57E" w:rsidR="006555DE" w:rsidRPr="00B279CD" w:rsidRDefault="006555DE">
      <w:r w:rsidRPr="00B279CD">
        <w:t>The Panel contribute</w:t>
      </w:r>
      <w:r w:rsidR="00B928C4">
        <w:t>s</w:t>
      </w:r>
      <w:r w:rsidRPr="00B279CD">
        <w:t xml:space="preserve"> to </w:t>
      </w:r>
      <w:r w:rsidR="003E768B" w:rsidRPr="00B279CD">
        <w:t>Treasury</w:t>
      </w:r>
      <w:r w:rsidR="008941F8">
        <w:t>’</w:t>
      </w:r>
      <w:r w:rsidR="003E768B" w:rsidRPr="00B279CD">
        <w:t xml:space="preserve">s outcome </w:t>
      </w:r>
      <w:r w:rsidR="00B928C4">
        <w:t>by</w:t>
      </w:r>
      <w:r w:rsidRPr="00B279CD">
        <w:t>:</w:t>
      </w:r>
    </w:p>
    <w:p w14:paraId="571C6B0E" w14:textId="668CFD54" w:rsidR="006555DE" w:rsidRPr="00B279CD" w:rsidRDefault="00300003" w:rsidP="004B1937">
      <w:pPr>
        <w:pStyle w:val="Bullet"/>
      </w:pPr>
      <w:r>
        <w:t>t</w:t>
      </w:r>
      <w:r w:rsidR="00B928C4" w:rsidRPr="00B279CD">
        <w:t>imely</w:t>
      </w:r>
      <w:r w:rsidR="006555DE" w:rsidRPr="00B279CD">
        <w:t>, clear and consistent decisions in line with market practice</w:t>
      </w:r>
    </w:p>
    <w:p w14:paraId="571C6B0F" w14:textId="72240FBF" w:rsidR="006555DE" w:rsidRPr="00B279CD" w:rsidRDefault="00300003" w:rsidP="00300003">
      <w:pPr>
        <w:pStyle w:val="Bullet"/>
        <w:spacing w:line="240" w:lineRule="auto"/>
      </w:pPr>
      <w:r>
        <w:t>g</w:t>
      </w:r>
      <w:r w:rsidR="00B928C4" w:rsidRPr="00B279CD">
        <w:t xml:space="preserve">uidance </w:t>
      </w:r>
      <w:r w:rsidR="006555DE" w:rsidRPr="00B279CD">
        <w:t xml:space="preserve">to assist market participants regarding takeover aspects of the </w:t>
      </w:r>
      <w:r w:rsidR="006555DE" w:rsidRPr="006F7308">
        <w:t>Corporations Act</w:t>
      </w:r>
      <w:r w:rsidR="006555DE" w:rsidRPr="00B279CD">
        <w:t xml:space="preserve"> and ASIC Act</w:t>
      </w:r>
      <w:r w:rsidR="006F7308">
        <w:t xml:space="preserve"> (including seeking public consultation from market participants)</w:t>
      </w:r>
    </w:p>
    <w:p w14:paraId="571C6B10" w14:textId="2985CE3F" w:rsidR="006555DE" w:rsidRPr="00B279CD" w:rsidRDefault="00300003" w:rsidP="004B1937">
      <w:pPr>
        <w:pStyle w:val="Bullet"/>
      </w:pPr>
      <w:r>
        <w:t>p</w:t>
      </w:r>
      <w:r w:rsidR="00B928C4" w:rsidRPr="00B279CD">
        <w:t xml:space="preserve">rocedural </w:t>
      </w:r>
      <w:r w:rsidR="006555DE" w:rsidRPr="00B279CD">
        <w:t>rules for fair, timely and cost</w:t>
      </w:r>
      <w:r w:rsidR="008941F8">
        <w:noBreakHyphen/>
      </w:r>
      <w:r w:rsidR="006555DE" w:rsidRPr="00B279CD">
        <w:t>effective resolution of disputes.</w:t>
      </w:r>
    </w:p>
    <w:p w14:paraId="571C6B11" w14:textId="77777777" w:rsidR="0075584F" w:rsidRPr="008715D6" w:rsidRDefault="0075584F" w:rsidP="008715D6">
      <w:bookmarkStart w:id="270" w:name="statements"/>
      <w:bookmarkStart w:id="271" w:name="_Toc496949374"/>
      <w:bookmarkStart w:id="272" w:name="_Toc496953562"/>
      <w:bookmarkStart w:id="273" w:name="_Toc496953645"/>
      <w:bookmarkStart w:id="274" w:name="_Toc524229667"/>
      <w:bookmarkStart w:id="275" w:name="_Toc143338244"/>
      <w:bookmarkStart w:id="276" w:name="_Toc143340309"/>
      <w:bookmarkStart w:id="277" w:name="_Toc143418684"/>
      <w:bookmarkStart w:id="278" w:name="_Toc143420192"/>
      <w:bookmarkStart w:id="279" w:name="_Toc177204267"/>
      <w:bookmarkStart w:id="280" w:name="_Toc204589489"/>
      <w:bookmarkStart w:id="281" w:name="_Toc204590152"/>
      <w:bookmarkStart w:id="282" w:name="_Toc204591236"/>
      <w:bookmarkStart w:id="283" w:name="_Toc204591295"/>
      <w:bookmarkStart w:id="284" w:name="_Toc204591408"/>
      <w:bookmarkStart w:id="285" w:name="_Toc207163425"/>
      <w:bookmarkStart w:id="286" w:name="_Toc332277175"/>
      <w:bookmarkStart w:id="287" w:name="_Toc362608086"/>
      <w:bookmarkStart w:id="288" w:name="_Toc496353002"/>
      <w:bookmarkEnd w:id="269"/>
      <w:r w:rsidRPr="008715D6">
        <w:br w:type="page"/>
      </w:r>
    </w:p>
    <w:p w14:paraId="571C6B12" w14:textId="77777777" w:rsidR="00BB3BDA" w:rsidRPr="00D878F1" w:rsidRDefault="006555DE" w:rsidP="00C627BF">
      <w:pPr>
        <w:pStyle w:val="Heading2"/>
      </w:pPr>
      <w:bookmarkStart w:id="289" w:name="_Toc174632405"/>
      <w:r w:rsidRPr="00D878F1">
        <w:lastRenderedPageBreak/>
        <w:t>Financial information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9"/>
      <w:r w:rsidR="00660325" w:rsidRPr="00D878F1">
        <w:fldChar w:fldCharType="begin"/>
      </w:r>
      <w:r w:rsidR="00660325" w:rsidRPr="00D878F1">
        <w:instrText>xe "Financial information"</w:instrText>
      </w:r>
      <w:r w:rsidR="00660325" w:rsidRPr="00D878F1">
        <w:fldChar w:fldCharType="end"/>
      </w:r>
    </w:p>
    <w:p w14:paraId="571C6B13" w14:textId="77777777" w:rsidR="006555DE" w:rsidRPr="00D878F1" w:rsidRDefault="006555DE" w:rsidP="00286051">
      <w:pPr>
        <w:pStyle w:val="Heading3"/>
      </w:pPr>
      <w:bookmarkStart w:id="290" w:name="_Toc496956322"/>
      <w:bookmarkStart w:id="291" w:name="_Toc496956584"/>
      <w:bookmarkStart w:id="292" w:name="_Toc497132808"/>
      <w:bookmarkStart w:id="293" w:name="_Toc143340634"/>
      <w:bookmarkStart w:id="294" w:name="_Toc143420193"/>
      <w:bookmarkStart w:id="295" w:name="_Toc204589490"/>
      <w:bookmarkStart w:id="296" w:name="_Toc176854665"/>
      <w:bookmarkEnd w:id="288"/>
      <w:r w:rsidRPr="00D878F1">
        <w:t>Schedule of Revenues and Expenditures</w:t>
      </w:r>
      <w:bookmarkEnd w:id="290"/>
      <w:bookmarkEnd w:id="291"/>
      <w:bookmarkEnd w:id="292"/>
      <w:bookmarkEnd w:id="293"/>
      <w:bookmarkEnd w:id="294"/>
      <w:bookmarkEnd w:id="295"/>
    </w:p>
    <w:p w14:paraId="571C6B14" w14:textId="05D71730" w:rsidR="006555DE" w:rsidRPr="00D878F1" w:rsidRDefault="00CC73CE" w:rsidP="00946668">
      <w:pPr>
        <w:pStyle w:val="TableMainHeading"/>
      </w:pPr>
      <w:bookmarkStart w:id="297" w:name="_Toc207510586"/>
      <w:bookmarkStart w:id="298" w:name="_Toc146790815"/>
      <w:r w:rsidRPr="00D878F1">
        <w:t>Table</w:t>
      </w:r>
      <w:r w:rsidR="002D2C29">
        <w:t xml:space="preserve"> 7</w:t>
      </w:r>
      <w:r w:rsidR="006555DE" w:rsidRPr="00D878F1">
        <w:t xml:space="preserve">: </w:t>
      </w:r>
      <w:r w:rsidR="00431215" w:rsidRPr="00D878F1">
        <w:t>Income statement (S</w:t>
      </w:r>
      <w:r w:rsidR="009D16DF" w:rsidRPr="00D878F1">
        <w:t xml:space="preserve">howing Net Cost </w:t>
      </w:r>
      <w:r w:rsidR="00431215" w:rsidRPr="00D878F1">
        <w:t>of</w:t>
      </w:r>
      <w:r w:rsidR="009D16DF" w:rsidRPr="00D878F1">
        <w:t xml:space="preserve"> Services) (unaudited) for</w:t>
      </w:r>
      <w:r w:rsidR="0000405E" w:rsidRPr="00D878F1">
        <w:t> </w:t>
      </w:r>
      <w:r w:rsidR="009D16DF" w:rsidRPr="00D878F1">
        <w:t xml:space="preserve">the </w:t>
      </w:r>
      <w:r w:rsidR="00D878F1" w:rsidRPr="00D878F1">
        <w:t>period</w:t>
      </w:r>
      <w:r w:rsidR="009D16DF" w:rsidRPr="00D878F1">
        <w:t xml:space="preserve"> ended 30 June 20</w:t>
      </w:r>
      <w:bookmarkStart w:id="299" w:name="_Toc496353003"/>
      <w:bookmarkEnd w:id="296"/>
      <w:bookmarkEnd w:id="297"/>
      <w:r w:rsidR="004C1F7B" w:rsidRPr="00D878F1">
        <w:t>2</w:t>
      </w:r>
      <w:bookmarkEnd w:id="298"/>
      <w:r w:rsidR="00D878F1" w:rsidRPr="00D878F1">
        <w:t>4</w:t>
      </w:r>
    </w:p>
    <w:tbl>
      <w:tblPr>
        <w:tblW w:w="5000" w:type="pct"/>
        <w:tblCellMar>
          <w:left w:w="54" w:type="dxa"/>
          <w:right w:w="54" w:type="dxa"/>
        </w:tblCellMar>
        <w:tblLook w:val="0020" w:firstRow="1" w:lastRow="0" w:firstColumn="0" w:lastColumn="0" w:noHBand="0" w:noVBand="0"/>
      </w:tblPr>
      <w:tblGrid>
        <w:gridCol w:w="6554"/>
        <w:gridCol w:w="1157"/>
      </w:tblGrid>
      <w:tr w:rsidR="00D878F1" w:rsidRPr="004F19AB" w14:paraId="050C1EFD" w14:textId="77777777" w:rsidTr="0087175E">
        <w:trPr>
          <w:tblHeader/>
        </w:trPr>
        <w:tc>
          <w:tcPr>
            <w:tcW w:w="4250" w:type="pct"/>
            <w:tcBorders>
              <w:top w:val="single" w:sz="4" w:space="0" w:color="auto"/>
            </w:tcBorders>
          </w:tcPr>
          <w:p w14:paraId="3B227065" w14:textId="77777777" w:rsidR="00D878F1" w:rsidRPr="00D3353B" w:rsidRDefault="00D878F1" w:rsidP="0087175E">
            <w:pPr>
              <w:pStyle w:val="TableColumnHeadingRight"/>
              <w:rPr>
                <w:highlight w:val="yellow"/>
              </w:rPr>
            </w:pPr>
          </w:p>
        </w:tc>
        <w:tc>
          <w:tcPr>
            <w:tcW w:w="750" w:type="pct"/>
            <w:tcBorders>
              <w:top w:val="single" w:sz="4" w:space="0" w:color="auto"/>
              <w:bottom w:val="single" w:sz="4" w:space="0" w:color="auto"/>
            </w:tcBorders>
            <w:vAlign w:val="center"/>
          </w:tcPr>
          <w:p w14:paraId="333EA351" w14:textId="77777777" w:rsidR="00D878F1" w:rsidRPr="004F19AB" w:rsidRDefault="00D878F1" w:rsidP="0087175E">
            <w:pPr>
              <w:pStyle w:val="TableColumnHeadingRight"/>
              <w:rPr>
                <w:rFonts w:eastAsia="Batang"/>
              </w:rPr>
            </w:pPr>
            <w:r w:rsidRPr="004F19AB">
              <w:rPr>
                <w:rFonts w:eastAsia="Batang"/>
              </w:rPr>
              <w:t>$</w:t>
            </w:r>
          </w:p>
        </w:tc>
      </w:tr>
      <w:tr w:rsidR="00D878F1" w:rsidRPr="004F19AB" w14:paraId="13A26758" w14:textId="77777777" w:rsidTr="0087175E">
        <w:trPr>
          <w:tblHeader/>
        </w:trPr>
        <w:tc>
          <w:tcPr>
            <w:tcW w:w="4250" w:type="pct"/>
            <w:vAlign w:val="bottom"/>
          </w:tcPr>
          <w:p w14:paraId="3D0D8B1B" w14:textId="77777777" w:rsidR="00D878F1" w:rsidRPr="004F19AB" w:rsidRDefault="00D878F1" w:rsidP="0087175E">
            <w:pPr>
              <w:pStyle w:val="TableTextLeft-ArialBoldHeading"/>
            </w:pPr>
            <w:r w:rsidRPr="004F19AB">
              <w:t>NET COST OF SERVICES</w:t>
            </w:r>
          </w:p>
        </w:tc>
        <w:tc>
          <w:tcPr>
            <w:tcW w:w="750" w:type="pct"/>
            <w:tcBorders>
              <w:top w:val="single" w:sz="4" w:space="0" w:color="auto"/>
            </w:tcBorders>
            <w:vAlign w:val="center"/>
          </w:tcPr>
          <w:p w14:paraId="4B9E5151" w14:textId="77777777" w:rsidR="00D878F1" w:rsidRPr="004F19AB" w:rsidRDefault="00D878F1" w:rsidP="0087175E">
            <w:pPr>
              <w:pStyle w:val="TableTextLeft-ArialBoldHeading"/>
            </w:pPr>
          </w:p>
        </w:tc>
      </w:tr>
      <w:tr w:rsidR="00D878F1" w:rsidRPr="004F19AB" w14:paraId="60CA3705" w14:textId="77777777" w:rsidTr="0087175E">
        <w:tc>
          <w:tcPr>
            <w:tcW w:w="4250" w:type="pct"/>
            <w:vAlign w:val="bottom"/>
          </w:tcPr>
          <w:p w14:paraId="5863696B" w14:textId="77777777" w:rsidR="00D878F1" w:rsidRPr="004F19AB" w:rsidRDefault="00D878F1" w:rsidP="0087175E">
            <w:pPr>
              <w:pStyle w:val="TableTextLeft-ArialBold"/>
            </w:pPr>
            <w:r w:rsidRPr="004F19AB">
              <w:t>Employee expenses</w:t>
            </w:r>
          </w:p>
        </w:tc>
        <w:tc>
          <w:tcPr>
            <w:tcW w:w="750" w:type="pct"/>
            <w:vAlign w:val="center"/>
          </w:tcPr>
          <w:p w14:paraId="78D00E87" w14:textId="77777777" w:rsidR="00D878F1" w:rsidRPr="004F19AB" w:rsidRDefault="00D878F1" w:rsidP="0087175E">
            <w:pPr>
              <w:pStyle w:val="TableTextRight-ArialBold"/>
            </w:pPr>
          </w:p>
        </w:tc>
      </w:tr>
      <w:tr w:rsidR="00D878F1" w:rsidRPr="004F19AB" w14:paraId="2077CCC1" w14:textId="77777777" w:rsidTr="0087175E">
        <w:tc>
          <w:tcPr>
            <w:tcW w:w="4250" w:type="pct"/>
          </w:tcPr>
          <w:p w14:paraId="48AD9CE6" w14:textId="77777777" w:rsidR="00D878F1" w:rsidRPr="004F19AB" w:rsidRDefault="00D878F1" w:rsidP="0087175E">
            <w:pPr>
              <w:pStyle w:val="TableTextLeft-ArialIndented"/>
              <w:spacing w:before="70" w:after="70"/>
            </w:pPr>
            <w:r>
              <w:t>Wages and sa</w:t>
            </w:r>
            <w:r w:rsidRPr="004F19AB">
              <w:t>laries</w:t>
            </w:r>
          </w:p>
        </w:tc>
        <w:tc>
          <w:tcPr>
            <w:tcW w:w="750" w:type="pct"/>
            <w:vAlign w:val="center"/>
          </w:tcPr>
          <w:p w14:paraId="4768F47A" w14:textId="77777777" w:rsidR="00D878F1" w:rsidRPr="004F19AB" w:rsidRDefault="00D878F1" w:rsidP="0087175E">
            <w:pPr>
              <w:pStyle w:val="TableTextRight-Arial"/>
            </w:pPr>
            <w:r>
              <w:rPr>
                <w:rFonts w:cs="Arial"/>
                <w:color w:val="000000"/>
                <w:szCs w:val="18"/>
              </w:rPr>
              <w:t>1,382,520</w:t>
            </w:r>
          </w:p>
        </w:tc>
      </w:tr>
      <w:tr w:rsidR="00D878F1" w:rsidRPr="004F19AB" w14:paraId="6D5AB43E" w14:textId="77777777" w:rsidTr="0087175E">
        <w:tc>
          <w:tcPr>
            <w:tcW w:w="4250" w:type="pct"/>
          </w:tcPr>
          <w:p w14:paraId="2EF6D930" w14:textId="77777777" w:rsidR="00D878F1" w:rsidRPr="004F19AB" w:rsidRDefault="00D878F1" w:rsidP="0087175E">
            <w:pPr>
              <w:pStyle w:val="TableTextLeft-ArialIndented"/>
              <w:spacing w:before="70" w:after="70"/>
            </w:pPr>
            <w:r>
              <w:t>S</w:t>
            </w:r>
            <w:r w:rsidRPr="004F19AB">
              <w:t>uperannuation</w:t>
            </w:r>
          </w:p>
        </w:tc>
        <w:tc>
          <w:tcPr>
            <w:tcW w:w="750" w:type="pct"/>
            <w:vAlign w:val="center"/>
          </w:tcPr>
          <w:p w14:paraId="4EF6CE71" w14:textId="77777777" w:rsidR="00D878F1" w:rsidRPr="004F19AB" w:rsidRDefault="00D878F1" w:rsidP="0087175E">
            <w:pPr>
              <w:pStyle w:val="TableTextRight-Arial"/>
            </w:pPr>
            <w:r>
              <w:rPr>
                <w:rFonts w:cs="Arial"/>
                <w:color w:val="000000"/>
                <w:szCs w:val="18"/>
              </w:rPr>
              <w:t>198,478</w:t>
            </w:r>
          </w:p>
        </w:tc>
      </w:tr>
      <w:tr w:rsidR="00D878F1" w:rsidRPr="004F19AB" w14:paraId="16F89FB7" w14:textId="77777777" w:rsidTr="0087175E">
        <w:tc>
          <w:tcPr>
            <w:tcW w:w="4250" w:type="pct"/>
          </w:tcPr>
          <w:p w14:paraId="4BC19DA4" w14:textId="3D5DE3EE" w:rsidR="00D878F1" w:rsidRPr="004F19AB" w:rsidRDefault="00D878F1" w:rsidP="0087175E">
            <w:pPr>
              <w:pStyle w:val="TableTextLeft-ArialIndented"/>
              <w:spacing w:before="70" w:after="70"/>
            </w:pPr>
            <w:r w:rsidRPr="004F19AB">
              <w:t>Members</w:t>
            </w:r>
            <w:r w:rsidR="008941F8">
              <w:t>’</w:t>
            </w:r>
            <w:r w:rsidRPr="004F19AB">
              <w:t xml:space="preserve"> annual retainer and sitting fees</w:t>
            </w:r>
          </w:p>
        </w:tc>
        <w:tc>
          <w:tcPr>
            <w:tcW w:w="750" w:type="pct"/>
            <w:tcBorders>
              <w:bottom w:val="single" w:sz="4" w:space="0" w:color="auto"/>
            </w:tcBorders>
            <w:vAlign w:val="center"/>
          </w:tcPr>
          <w:p w14:paraId="5DC984CD" w14:textId="77777777" w:rsidR="00D878F1" w:rsidRPr="004F19AB" w:rsidRDefault="00D878F1" w:rsidP="0087175E">
            <w:pPr>
              <w:pStyle w:val="TableTextRight-Arial"/>
            </w:pPr>
            <w:r>
              <w:rPr>
                <w:rFonts w:cs="Arial"/>
                <w:color w:val="000000"/>
                <w:szCs w:val="18"/>
              </w:rPr>
              <w:t>521,499</w:t>
            </w:r>
          </w:p>
        </w:tc>
      </w:tr>
      <w:tr w:rsidR="00D878F1" w:rsidRPr="004733FE" w14:paraId="43F48FE7" w14:textId="77777777" w:rsidTr="0087175E">
        <w:tc>
          <w:tcPr>
            <w:tcW w:w="4250" w:type="pct"/>
          </w:tcPr>
          <w:p w14:paraId="5B13F0E4" w14:textId="77777777" w:rsidR="00D878F1" w:rsidRPr="004F19AB" w:rsidRDefault="00D878F1" w:rsidP="0087175E">
            <w:pPr>
              <w:pStyle w:val="TableTextLeft-ArialBold"/>
            </w:pPr>
            <w:r w:rsidRPr="004F19AB">
              <w:t>Total employee expenses</w:t>
            </w:r>
          </w:p>
        </w:tc>
        <w:tc>
          <w:tcPr>
            <w:tcW w:w="750" w:type="pct"/>
            <w:tcBorders>
              <w:top w:val="single" w:sz="4" w:space="0" w:color="auto"/>
              <w:bottom w:val="single" w:sz="4" w:space="0" w:color="auto"/>
            </w:tcBorders>
            <w:vAlign w:val="center"/>
          </w:tcPr>
          <w:p w14:paraId="270D4A9F" w14:textId="77777777" w:rsidR="00D878F1" w:rsidRPr="004733FE" w:rsidRDefault="00D878F1" w:rsidP="0087175E">
            <w:pPr>
              <w:pStyle w:val="TableTextRight-ArialBold"/>
            </w:pPr>
            <w:r w:rsidRPr="004733FE">
              <w:rPr>
                <w:rFonts w:cs="Arial"/>
                <w:color w:val="000000"/>
                <w:szCs w:val="18"/>
              </w:rPr>
              <w:t>2,</w:t>
            </w:r>
            <w:r>
              <w:rPr>
                <w:rFonts w:cs="Arial"/>
                <w:color w:val="000000"/>
                <w:szCs w:val="18"/>
              </w:rPr>
              <w:t>102,496</w:t>
            </w:r>
          </w:p>
        </w:tc>
      </w:tr>
      <w:tr w:rsidR="00D878F1" w:rsidRPr="004F19AB" w14:paraId="5B439A6B" w14:textId="77777777" w:rsidTr="0087175E">
        <w:tc>
          <w:tcPr>
            <w:tcW w:w="4250" w:type="pct"/>
            <w:vAlign w:val="bottom"/>
          </w:tcPr>
          <w:p w14:paraId="1841581A" w14:textId="77777777" w:rsidR="00D878F1" w:rsidRPr="004F19AB" w:rsidRDefault="00D878F1" w:rsidP="0087175E">
            <w:pPr>
              <w:pStyle w:val="TableTextLeft-ArialBold"/>
            </w:pPr>
            <w:r w:rsidRPr="004F19AB">
              <w:t>Operating expenses</w:t>
            </w:r>
          </w:p>
        </w:tc>
        <w:tc>
          <w:tcPr>
            <w:tcW w:w="750" w:type="pct"/>
            <w:tcBorders>
              <w:top w:val="single" w:sz="4" w:space="0" w:color="auto"/>
            </w:tcBorders>
            <w:vAlign w:val="center"/>
          </w:tcPr>
          <w:p w14:paraId="1DDDA65A" w14:textId="77777777" w:rsidR="00D878F1" w:rsidRPr="004F19AB" w:rsidRDefault="00D878F1" w:rsidP="0087175E">
            <w:pPr>
              <w:pStyle w:val="TableTextRight-ArialBold"/>
            </w:pPr>
          </w:p>
        </w:tc>
      </w:tr>
      <w:tr w:rsidR="00D878F1" w:rsidRPr="004F19AB" w14:paraId="42B72EE7" w14:textId="77777777" w:rsidTr="0087175E">
        <w:tc>
          <w:tcPr>
            <w:tcW w:w="4250" w:type="pct"/>
            <w:vAlign w:val="center"/>
          </w:tcPr>
          <w:p w14:paraId="4B87DEE6" w14:textId="77777777" w:rsidR="00D878F1" w:rsidRPr="004F19AB" w:rsidRDefault="00D878F1" w:rsidP="0087175E">
            <w:pPr>
              <w:pStyle w:val="TableTextLeft-ArialIndented"/>
              <w:spacing w:before="70" w:after="70"/>
            </w:pPr>
            <w:r>
              <w:rPr>
                <w:rFonts w:cs="Arial"/>
                <w:szCs w:val="16"/>
              </w:rPr>
              <w:t>Consultants</w:t>
            </w:r>
          </w:p>
        </w:tc>
        <w:tc>
          <w:tcPr>
            <w:tcW w:w="750" w:type="pct"/>
            <w:vAlign w:val="center"/>
          </w:tcPr>
          <w:p w14:paraId="367F0A34" w14:textId="77777777" w:rsidR="00D878F1" w:rsidRDefault="00D878F1" w:rsidP="0087175E">
            <w:pPr>
              <w:pStyle w:val="TableTextRight-Arial"/>
            </w:pPr>
            <w:r>
              <w:rPr>
                <w:rFonts w:cs="Arial"/>
                <w:color w:val="000000"/>
                <w:szCs w:val="18"/>
              </w:rPr>
              <w:t>98,330</w:t>
            </w:r>
          </w:p>
        </w:tc>
      </w:tr>
      <w:tr w:rsidR="00D878F1" w:rsidRPr="004F19AB" w14:paraId="4A5914C6" w14:textId="77777777" w:rsidTr="0087175E">
        <w:tc>
          <w:tcPr>
            <w:tcW w:w="4250" w:type="pct"/>
            <w:vAlign w:val="center"/>
          </w:tcPr>
          <w:p w14:paraId="088F2EBC" w14:textId="77777777" w:rsidR="00D878F1" w:rsidRPr="004F19AB" w:rsidRDefault="00D878F1" w:rsidP="0087175E">
            <w:pPr>
              <w:pStyle w:val="TableTextLeft-ArialIndented"/>
              <w:spacing w:before="70" w:after="70"/>
            </w:pPr>
            <w:r>
              <w:rPr>
                <w:rFonts w:cs="Arial"/>
                <w:szCs w:val="16"/>
              </w:rPr>
              <w:t>Contractors</w:t>
            </w:r>
          </w:p>
        </w:tc>
        <w:tc>
          <w:tcPr>
            <w:tcW w:w="750" w:type="pct"/>
            <w:vAlign w:val="center"/>
          </w:tcPr>
          <w:p w14:paraId="78009B77" w14:textId="77777777" w:rsidR="00D878F1" w:rsidRDefault="00D878F1" w:rsidP="0087175E">
            <w:pPr>
              <w:pStyle w:val="TableTextRight-Arial"/>
            </w:pPr>
            <w:r>
              <w:rPr>
                <w:rFonts w:cs="Arial"/>
                <w:color w:val="000000"/>
                <w:szCs w:val="18"/>
              </w:rPr>
              <w:t>41,246</w:t>
            </w:r>
          </w:p>
        </w:tc>
      </w:tr>
      <w:tr w:rsidR="00D878F1" w:rsidRPr="004F19AB" w14:paraId="551E032C" w14:textId="77777777" w:rsidTr="0087175E">
        <w:tc>
          <w:tcPr>
            <w:tcW w:w="4250" w:type="pct"/>
            <w:vAlign w:val="center"/>
          </w:tcPr>
          <w:p w14:paraId="567EC32D" w14:textId="77777777" w:rsidR="00D878F1" w:rsidRDefault="00D878F1" w:rsidP="0087175E">
            <w:pPr>
              <w:pStyle w:val="TableTextLeft-ArialIndented"/>
              <w:spacing w:before="70" w:after="70"/>
            </w:pPr>
            <w:r>
              <w:rPr>
                <w:rFonts w:cs="Arial"/>
                <w:szCs w:val="16"/>
              </w:rPr>
              <w:t>Travel</w:t>
            </w:r>
          </w:p>
        </w:tc>
        <w:tc>
          <w:tcPr>
            <w:tcW w:w="750" w:type="pct"/>
            <w:vAlign w:val="center"/>
          </w:tcPr>
          <w:p w14:paraId="5812679E" w14:textId="77777777" w:rsidR="00D878F1" w:rsidRDefault="00D878F1" w:rsidP="0087175E">
            <w:pPr>
              <w:pStyle w:val="TableTextRight-Arial"/>
            </w:pPr>
            <w:r>
              <w:rPr>
                <w:rFonts w:cs="Arial"/>
                <w:color w:val="000000"/>
                <w:szCs w:val="18"/>
              </w:rPr>
              <w:t>96,439</w:t>
            </w:r>
          </w:p>
        </w:tc>
      </w:tr>
      <w:tr w:rsidR="00D878F1" w:rsidRPr="004F19AB" w14:paraId="52A86CB1" w14:textId="77777777" w:rsidTr="0087175E">
        <w:tc>
          <w:tcPr>
            <w:tcW w:w="4250" w:type="pct"/>
            <w:vAlign w:val="center"/>
          </w:tcPr>
          <w:p w14:paraId="7B6C829A" w14:textId="77777777" w:rsidR="00D878F1" w:rsidRPr="004F19AB" w:rsidRDefault="00D878F1" w:rsidP="0087175E">
            <w:pPr>
              <w:pStyle w:val="TableTextLeft-ArialIndented"/>
              <w:spacing w:before="70" w:after="70"/>
            </w:pPr>
            <w:r>
              <w:rPr>
                <w:rFonts w:cs="Arial"/>
                <w:szCs w:val="16"/>
              </w:rPr>
              <w:t>Legal</w:t>
            </w:r>
          </w:p>
        </w:tc>
        <w:tc>
          <w:tcPr>
            <w:tcW w:w="750" w:type="pct"/>
            <w:vAlign w:val="center"/>
          </w:tcPr>
          <w:p w14:paraId="0CDB4310" w14:textId="77777777" w:rsidR="00D878F1" w:rsidRPr="00ED3079" w:rsidRDefault="00D878F1" w:rsidP="0087175E">
            <w:pPr>
              <w:pStyle w:val="TableTextRight-Arial"/>
            </w:pPr>
            <w:r>
              <w:rPr>
                <w:rFonts w:cs="Arial"/>
                <w:color w:val="000000"/>
                <w:szCs w:val="18"/>
              </w:rPr>
              <w:t>4,891</w:t>
            </w:r>
          </w:p>
        </w:tc>
      </w:tr>
      <w:tr w:rsidR="00D878F1" w:rsidRPr="004F19AB" w14:paraId="71E0334F" w14:textId="77777777" w:rsidTr="0087175E">
        <w:tc>
          <w:tcPr>
            <w:tcW w:w="4250" w:type="pct"/>
            <w:vAlign w:val="center"/>
          </w:tcPr>
          <w:p w14:paraId="225E9EC4" w14:textId="77777777" w:rsidR="00D878F1" w:rsidRPr="004F19AB" w:rsidRDefault="00D878F1" w:rsidP="0087175E">
            <w:pPr>
              <w:pStyle w:val="TableTextLeft-ArialIndented"/>
              <w:spacing w:before="70" w:after="70"/>
            </w:pPr>
            <w:r>
              <w:rPr>
                <w:rFonts w:cs="Arial"/>
                <w:szCs w:val="16"/>
              </w:rPr>
              <w:t>Publications and subscriptions</w:t>
            </w:r>
          </w:p>
        </w:tc>
        <w:tc>
          <w:tcPr>
            <w:tcW w:w="750" w:type="pct"/>
            <w:vAlign w:val="center"/>
          </w:tcPr>
          <w:p w14:paraId="22FD7E3A" w14:textId="77777777" w:rsidR="00D878F1" w:rsidRPr="00ED3079" w:rsidRDefault="00D878F1" w:rsidP="0087175E">
            <w:pPr>
              <w:pStyle w:val="TableTextRight-Arial"/>
            </w:pPr>
            <w:r>
              <w:rPr>
                <w:rFonts w:cs="Arial"/>
                <w:color w:val="000000"/>
                <w:szCs w:val="18"/>
              </w:rPr>
              <w:t>27,163</w:t>
            </w:r>
          </w:p>
        </w:tc>
      </w:tr>
      <w:tr w:rsidR="00D878F1" w:rsidRPr="004F19AB" w14:paraId="5412F7EE" w14:textId="77777777" w:rsidTr="0087175E">
        <w:tc>
          <w:tcPr>
            <w:tcW w:w="4250" w:type="pct"/>
            <w:vAlign w:val="center"/>
          </w:tcPr>
          <w:p w14:paraId="411D5F66" w14:textId="77777777" w:rsidR="00D878F1" w:rsidRPr="004F19AB" w:rsidRDefault="00D878F1" w:rsidP="0087175E">
            <w:pPr>
              <w:pStyle w:val="TableTextLeft-ArialIndented"/>
              <w:spacing w:before="70" w:after="70"/>
            </w:pPr>
            <w:r>
              <w:rPr>
                <w:rFonts w:cs="Arial"/>
                <w:szCs w:val="16"/>
              </w:rPr>
              <w:t>General Office</w:t>
            </w:r>
          </w:p>
        </w:tc>
        <w:tc>
          <w:tcPr>
            <w:tcW w:w="750" w:type="pct"/>
            <w:vAlign w:val="center"/>
          </w:tcPr>
          <w:p w14:paraId="1EE1B615" w14:textId="77777777" w:rsidR="00D878F1" w:rsidRPr="00ED3079" w:rsidRDefault="00D878F1" w:rsidP="0087175E">
            <w:pPr>
              <w:pStyle w:val="TableTextRight-Arial"/>
            </w:pPr>
            <w:r>
              <w:rPr>
                <w:rFonts w:cs="Arial"/>
                <w:color w:val="000000"/>
                <w:szCs w:val="18"/>
              </w:rPr>
              <w:t>20,034</w:t>
            </w:r>
          </w:p>
        </w:tc>
      </w:tr>
      <w:tr w:rsidR="00D878F1" w:rsidRPr="004F19AB" w14:paraId="5F21995B" w14:textId="77777777" w:rsidTr="0087175E">
        <w:tc>
          <w:tcPr>
            <w:tcW w:w="4250" w:type="pct"/>
            <w:vAlign w:val="center"/>
          </w:tcPr>
          <w:p w14:paraId="76BE370E" w14:textId="77777777" w:rsidR="00D878F1" w:rsidRPr="004F19AB" w:rsidRDefault="00D878F1" w:rsidP="0087175E">
            <w:pPr>
              <w:pStyle w:val="TableTextLeft-ArialIndented"/>
              <w:spacing w:before="70" w:after="70"/>
            </w:pPr>
            <w:r>
              <w:rPr>
                <w:rFonts w:cs="Arial"/>
                <w:szCs w:val="16"/>
              </w:rPr>
              <w:t>Conferences and training</w:t>
            </w:r>
          </w:p>
        </w:tc>
        <w:tc>
          <w:tcPr>
            <w:tcW w:w="750" w:type="pct"/>
            <w:tcBorders>
              <w:bottom w:val="single" w:sz="4" w:space="0" w:color="auto"/>
            </w:tcBorders>
            <w:vAlign w:val="center"/>
          </w:tcPr>
          <w:p w14:paraId="7A530CDE" w14:textId="77777777" w:rsidR="00D878F1" w:rsidRPr="00ED3079" w:rsidRDefault="00D878F1" w:rsidP="0087175E">
            <w:pPr>
              <w:pStyle w:val="TableTextRight-Arial"/>
            </w:pPr>
            <w:r>
              <w:rPr>
                <w:rFonts w:cs="Arial"/>
                <w:color w:val="000000"/>
                <w:szCs w:val="18"/>
              </w:rPr>
              <w:t>35,407</w:t>
            </w:r>
          </w:p>
        </w:tc>
      </w:tr>
      <w:tr w:rsidR="00D878F1" w:rsidRPr="004F19AB" w14:paraId="67A4C578" w14:textId="77777777" w:rsidTr="0087175E">
        <w:tc>
          <w:tcPr>
            <w:tcW w:w="4250" w:type="pct"/>
          </w:tcPr>
          <w:p w14:paraId="270529E0" w14:textId="77777777" w:rsidR="00D878F1" w:rsidRPr="004F19AB" w:rsidRDefault="00D878F1" w:rsidP="0087175E">
            <w:pPr>
              <w:pStyle w:val="TableTextLeft-ArialBold"/>
            </w:pPr>
            <w:r w:rsidRPr="004F19AB">
              <w:t>Total operating expenses</w:t>
            </w:r>
          </w:p>
        </w:tc>
        <w:tc>
          <w:tcPr>
            <w:tcW w:w="750" w:type="pct"/>
            <w:tcBorders>
              <w:top w:val="single" w:sz="4" w:space="0" w:color="auto"/>
              <w:bottom w:val="single" w:sz="4" w:space="0" w:color="auto"/>
            </w:tcBorders>
            <w:vAlign w:val="center"/>
          </w:tcPr>
          <w:p w14:paraId="0C244CD9" w14:textId="77777777" w:rsidR="00D878F1" w:rsidRPr="004733FE" w:rsidRDefault="00D878F1" w:rsidP="0087175E">
            <w:pPr>
              <w:pStyle w:val="TableTextRight-ArialBold"/>
            </w:pPr>
            <w:r w:rsidRPr="004733FE">
              <w:rPr>
                <w:rFonts w:cs="Arial"/>
                <w:color w:val="000000"/>
                <w:szCs w:val="18"/>
              </w:rPr>
              <w:t>323,509</w:t>
            </w:r>
          </w:p>
        </w:tc>
      </w:tr>
      <w:tr w:rsidR="00D878F1" w:rsidRPr="004F19AB" w14:paraId="465A10FF" w14:textId="77777777" w:rsidTr="0087175E">
        <w:tc>
          <w:tcPr>
            <w:tcW w:w="4250" w:type="pct"/>
          </w:tcPr>
          <w:p w14:paraId="373885FA" w14:textId="77777777" w:rsidR="00D878F1" w:rsidRPr="004F19AB" w:rsidRDefault="00D878F1" w:rsidP="0087175E">
            <w:pPr>
              <w:pStyle w:val="TableTextLeft-ArialBold"/>
            </w:pPr>
            <w:r w:rsidRPr="004F19AB">
              <w:t xml:space="preserve">Total </w:t>
            </w:r>
            <w:r>
              <w:t>expenses incurred to 30 June 2024</w:t>
            </w:r>
          </w:p>
        </w:tc>
        <w:tc>
          <w:tcPr>
            <w:tcW w:w="750" w:type="pct"/>
            <w:tcBorders>
              <w:top w:val="single" w:sz="4" w:space="0" w:color="auto"/>
              <w:bottom w:val="single" w:sz="4" w:space="0" w:color="auto"/>
            </w:tcBorders>
            <w:vAlign w:val="center"/>
          </w:tcPr>
          <w:p w14:paraId="0E78AB8E" w14:textId="77777777" w:rsidR="00D878F1" w:rsidRPr="004733FE" w:rsidRDefault="00D878F1" w:rsidP="0087175E">
            <w:pPr>
              <w:pStyle w:val="TableTextRight-ArialBold"/>
            </w:pPr>
            <w:r w:rsidRPr="004733FE">
              <w:rPr>
                <w:rFonts w:cs="Arial"/>
                <w:color w:val="000000"/>
                <w:szCs w:val="18"/>
              </w:rPr>
              <w:t>2,</w:t>
            </w:r>
            <w:r>
              <w:rPr>
                <w:rFonts w:cs="Arial"/>
                <w:color w:val="000000"/>
                <w:szCs w:val="18"/>
              </w:rPr>
              <w:t>426,005</w:t>
            </w:r>
          </w:p>
        </w:tc>
      </w:tr>
      <w:tr w:rsidR="00D878F1" w:rsidRPr="004F19AB" w14:paraId="466A5561" w14:textId="77777777" w:rsidTr="0087175E">
        <w:tc>
          <w:tcPr>
            <w:tcW w:w="4250" w:type="pct"/>
            <w:vAlign w:val="bottom"/>
          </w:tcPr>
          <w:p w14:paraId="084AD923" w14:textId="77777777" w:rsidR="00D878F1" w:rsidRPr="004F19AB" w:rsidRDefault="00D878F1" w:rsidP="0087175E">
            <w:pPr>
              <w:pStyle w:val="TableTextLeft-ArialBold"/>
            </w:pPr>
            <w:r>
              <w:t>O</w:t>
            </w:r>
            <w:r w:rsidRPr="004F19AB">
              <w:t>wn</w:t>
            </w:r>
            <w:r>
              <w:t xml:space="preserve"> </w:t>
            </w:r>
            <w:r w:rsidRPr="004F19AB">
              <w:t>source income</w:t>
            </w:r>
          </w:p>
        </w:tc>
        <w:tc>
          <w:tcPr>
            <w:tcW w:w="750" w:type="pct"/>
            <w:tcBorders>
              <w:top w:val="single" w:sz="4" w:space="0" w:color="auto"/>
              <w:bottom w:val="single" w:sz="4" w:space="0" w:color="auto"/>
            </w:tcBorders>
            <w:vAlign w:val="center"/>
          </w:tcPr>
          <w:p w14:paraId="3A78C6AB" w14:textId="77777777" w:rsidR="00D878F1" w:rsidRPr="004733FE" w:rsidRDefault="00D878F1" w:rsidP="0087175E">
            <w:pPr>
              <w:pStyle w:val="TableTextRight-ArialBold"/>
            </w:pPr>
            <w:r w:rsidRPr="004733FE">
              <w:rPr>
                <w:rFonts w:cs="Arial"/>
                <w:color w:val="000000"/>
                <w:szCs w:val="18"/>
              </w:rPr>
              <w:t>–</w:t>
            </w:r>
          </w:p>
        </w:tc>
      </w:tr>
      <w:tr w:rsidR="00D878F1" w:rsidRPr="004F19AB" w14:paraId="5D4DC131" w14:textId="77777777" w:rsidTr="0087175E">
        <w:tc>
          <w:tcPr>
            <w:tcW w:w="4250" w:type="pct"/>
            <w:vAlign w:val="bottom"/>
          </w:tcPr>
          <w:p w14:paraId="785A3A1C" w14:textId="77777777" w:rsidR="00D878F1" w:rsidRPr="004F19AB" w:rsidRDefault="00D878F1" w:rsidP="0087175E">
            <w:pPr>
              <w:pStyle w:val="TableTextLeft-ArialBold"/>
            </w:pPr>
            <w:r w:rsidRPr="004F19AB">
              <w:t>Net cost of services</w:t>
            </w:r>
          </w:p>
        </w:tc>
        <w:tc>
          <w:tcPr>
            <w:tcW w:w="750" w:type="pct"/>
            <w:tcBorders>
              <w:top w:val="single" w:sz="4" w:space="0" w:color="auto"/>
              <w:bottom w:val="single" w:sz="4" w:space="0" w:color="auto"/>
            </w:tcBorders>
            <w:vAlign w:val="center"/>
          </w:tcPr>
          <w:p w14:paraId="38743623" w14:textId="77777777" w:rsidR="00D878F1" w:rsidRPr="004733FE" w:rsidRDefault="00D878F1" w:rsidP="0087175E">
            <w:pPr>
              <w:pStyle w:val="TableTextRight-ArialBold"/>
            </w:pPr>
            <w:r>
              <w:rPr>
                <w:rFonts w:cs="Arial"/>
                <w:color w:val="000000"/>
                <w:szCs w:val="18"/>
              </w:rPr>
              <w:t>(</w:t>
            </w:r>
            <w:r w:rsidRPr="004733FE">
              <w:rPr>
                <w:rFonts w:cs="Arial"/>
                <w:color w:val="000000"/>
                <w:szCs w:val="18"/>
              </w:rPr>
              <w:t>2,</w:t>
            </w:r>
            <w:r>
              <w:rPr>
                <w:rFonts w:cs="Arial"/>
                <w:color w:val="000000"/>
                <w:szCs w:val="18"/>
              </w:rPr>
              <w:t>426,005)</w:t>
            </w:r>
          </w:p>
        </w:tc>
      </w:tr>
      <w:tr w:rsidR="00D878F1" w:rsidRPr="004F19AB" w14:paraId="52AF392A" w14:textId="77777777" w:rsidTr="0087175E">
        <w:tc>
          <w:tcPr>
            <w:tcW w:w="4250" w:type="pct"/>
            <w:vAlign w:val="bottom"/>
          </w:tcPr>
          <w:p w14:paraId="0AF964E6" w14:textId="77777777" w:rsidR="00D878F1" w:rsidRPr="004F19AB" w:rsidRDefault="00D878F1" w:rsidP="0087175E">
            <w:pPr>
              <w:pStyle w:val="TableTextLeft-ArialBold"/>
            </w:pPr>
            <w:r w:rsidRPr="004F19AB">
              <w:t>Revenue (Department of the Treasury budget allocation)</w:t>
            </w:r>
          </w:p>
        </w:tc>
        <w:tc>
          <w:tcPr>
            <w:tcW w:w="750" w:type="pct"/>
            <w:tcBorders>
              <w:top w:val="single" w:sz="4" w:space="0" w:color="auto"/>
            </w:tcBorders>
            <w:vAlign w:val="center"/>
          </w:tcPr>
          <w:p w14:paraId="1CA074D8" w14:textId="77777777" w:rsidR="00D878F1" w:rsidRPr="004733FE" w:rsidRDefault="00D878F1" w:rsidP="0087175E">
            <w:pPr>
              <w:pStyle w:val="TableTextRight-ArialBold"/>
            </w:pPr>
            <w:r w:rsidRPr="004733FE">
              <w:rPr>
                <w:rFonts w:cs="Arial"/>
                <w:color w:val="000000"/>
                <w:szCs w:val="18"/>
              </w:rPr>
              <w:t>2,745,000</w:t>
            </w:r>
          </w:p>
        </w:tc>
      </w:tr>
      <w:tr w:rsidR="00D878F1" w:rsidRPr="004F19AB" w14:paraId="3205D20C" w14:textId="77777777" w:rsidTr="0087175E">
        <w:tc>
          <w:tcPr>
            <w:tcW w:w="4250" w:type="pct"/>
            <w:tcBorders>
              <w:bottom w:val="single" w:sz="4" w:space="0" w:color="auto"/>
            </w:tcBorders>
            <w:vAlign w:val="bottom"/>
          </w:tcPr>
          <w:p w14:paraId="2730F107" w14:textId="77777777" w:rsidR="00D878F1" w:rsidRPr="004F19AB" w:rsidRDefault="00D878F1" w:rsidP="0087175E">
            <w:pPr>
              <w:pStyle w:val="TableTextLeft-ArialBold"/>
            </w:pPr>
            <w:r w:rsidRPr="004F19AB">
              <w:t>Surplus/(</w:t>
            </w:r>
            <w:r>
              <w:t>D</w:t>
            </w:r>
            <w:r w:rsidRPr="004F19AB">
              <w:t>eficit)</w:t>
            </w:r>
          </w:p>
        </w:tc>
        <w:tc>
          <w:tcPr>
            <w:tcW w:w="750" w:type="pct"/>
            <w:tcBorders>
              <w:bottom w:val="single" w:sz="4" w:space="0" w:color="auto"/>
            </w:tcBorders>
            <w:vAlign w:val="center"/>
          </w:tcPr>
          <w:p w14:paraId="1B9B5B2F" w14:textId="77777777" w:rsidR="00D878F1" w:rsidRPr="004733FE" w:rsidRDefault="00D878F1" w:rsidP="0087175E">
            <w:pPr>
              <w:pStyle w:val="TableTextRight-ArialBold"/>
            </w:pPr>
            <w:r w:rsidRPr="004733FE">
              <w:rPr>
                <w:rFonts w:cs="Arial"/>
                <w:color w:val="000000"/>
                <w:szCs w:val="18"/>
              </w:rPr>
              <w:t>3</w:t>
            </w:r>
            <w:r>
              <w:rPr>
                <w:rFonts w:cs="Arial"/>
                <w:color w:val="000000"/>
                <w:szCs w:val="18"/>
              </w:rPr>
              <w:t>18,995</w:t>
            </w:r>
          </w:p>
        </w:tc>
      </w:tr>
    </w:tbl>
    <w:p w14:paraId="17B18F99" w14:textId="4D6A7B6E" w:rsidR="00833F63" w:rsidRPr="000B04CD" w:rsidRDefault="00833F63" w:rsidP="00575500">
      <w:pPr>
        <w:pStyle w:val="SingleParagraph"/>
        <w:rPr>
          <w:highlight w:val="cyan"/>
        </w:rPr>
      </w:pPr>
    </w:p>
    <w:p w14:paraId="571C6B64" w14:textId="77777777" w:rsidR="006555DE" w:rsidRPr="00CD0ED4" w:rsidRDefault="006555DE" w:rsidP="00286051">
      <w:pPr>
        <w:pStyle w:val="Heading3"/>
      </w:pPr>
      <w:r w:rsidRPr="00CD0ED4">
        <w:t>Audit</w:t>
      </w:r>
    </w:p>
    <w:p w14:paraId="6BC543E1" w14:textId="1FAE26E7" w:rsidR="00110B9B" w:rsidRPr="00D878F1" w:rsidRDefault="00D878F1" w:rsidP="00D878F1">
      <w:pPr>
        <w:spacing w:after="200"/>
      </w:pPr>
      <w:bookmarkStart w:id="300" w:name="_Toc143338245"/>
      <w:bookmarkStart w:id="301" w:name="_Toc143340310"/>
      <w:bookmarkStart w:id="302" w:name="_Toc143418685"/>
      <w:bookmarkStart w:id="303" w:name="_Toc143420194"/>
      <w:bookmarkStart w:id="304" w:name="_Toc177204268"/>
      <w:bookmarkStart w:id="305" w:name="_Toc204589491"/>
      <w:bookmarkStart w:id="306" w:name="_Toc204590153"/>
      <w:bookmarkStart w:id="307" w:name="_Toc143338246"/>
      <w:bookmarkStart w:id="308" w:name="_Toc143340311"/>
      <w:bookmarkStart w:id="309" w:name="_Toc143418686"/>
      <w:bookmarkStart w:id="310" w:name="_Toc143420195"/>
      <w:bookmarkEnd w:id="299"/>
      <w:r>
        <w:t xml:space="preserve">The Panel is a division of the Treasury. </w:t>
      </w:r>
      <w:r w:rsidRPr="00174B79">
        <w:fldChar w:fldCharType="begin"/>
      </w:r>
      <w:r w:rsidRPr="00174B79">
        <w:instrText>xe "Treasury"</w:instrText>
      </w:r>
      <w:r w:rsidRPr="00174B79">
        <w:fldChar w:fldCharType="end"/>
      </w:r>
      <w:r w:rsidRPr="00174B79">
        <w:t>Treasury</w:t>
      </w:r>
      <w:r w:rsidR="008941F8">
        <w:t>’</w:t>
      </w:r>
      <w:r w:rsidRPr="00174B79">
        <w:t>s financial statements are subject to audit by the ANAO</w:t>
      </w:r>
      <w:r>
        <w:t xml:space="preserve">. </w:t>
      </w:r>
      <w:r w:rsidRPr="00174B79">
        <w:t>The Panel</w:t>
      </w:r>
      <w:r w:rsidR="008941F8">
        <w:t>’</w:t>
      </w:r>
      <w:r w:rsidRPr="00174B79">
        <w:t>s operations are also subject to review under Treasury</w:t>
      </w:r>
      <w:r w:rsidR="008941F8">
        <w:t>’</w:t>
      </w:r>
      <w:r w:rsidRPr="00174B79">
        <w:t>s internal audit program.</w:t>
      </w:r>
      <w:r w:rsidR="00110B9B" w:rsidRPr="000B04CD">
        <w:rPr>
          <w:highlight w:val="cyan"/>
        </w:rPr>
        <w:br w:type="page"/>
      </w:r>
    </w:p>
    <w:p w14:paraId="571C6B67" w14:textId="0B984615" w:rsidR="006555DE" w:rsidRPr="00D878F1" w:rsidRDefault="006555DE" w:rsidP="00286051">
      <w:pPr>
        <w:pStyle w:val="Heading3"/>
      </w:pPr>
      <w:r w:rsidRPr="00D878F1">
        <w:lastRenderedPageBreak/>
        <w:t>Notes to the Schedule of Revenues and Expenditures</w:t>
      </w:r>
      <w:bookmarkEnd w:id="300"/>
      <w:bookmarkEnd w:id="301"/>
      <w:bookmarkEnd w:id="302"/>
      <w:bookmarkEnd w:id="303"/>
      <w:bookmarkEnd w:id="304"/>
      <w:bookmarkEnd w:id="305"/>
      <w:bookmarkEnd w:id="306"/>
    </w:p>
    <w:p w14:paraId="1060405C" w14:textId="77777777" w:rsidR="00D878F1" w:rsidRPr="008715D6" w:rsidRDefault="00D878F1" w:rsidP="00D878F1">
      <w:pPr>
        <w:pStyle w:val="Heading4"/>
      </w:pPr>
      <w:bookmarkStart w:id="311" w:name="_Toc204591237"/>
      <w:bookmarkStart w:id="312" w:name="_Toc204591296"/>
      <w:bookmarkStart w:id="313" w:name="_Toc177204269"/>
      <w:bookmarkStart w:id="314" w:name="_Toc204589493"/>
      <w:bookmarkStart w:id="315" w:name="_Toc204589538"/>
      <w:bookmarkStart w:id="316" w:name="_Toc204590154"/>
      <w:bookmarkStart w:id="317" w:name="_Toc204591409"/>
      <w:bookmarkStart w:id="318" w:name="_Toc207163426"/>
      <w:bookmarkEnd w:id="224"/>
      <w:bookmarkEnd w:id="225"/>
      <w:r w:rsidRPr="004668DA">
        <w:t>Statement of accounting policies</w:t>
      </w:r>
    </w:p>
    <w:p w14:paraId="5791B375" w14:textId="77777777" w:rsidR="00D878F1" w:rsidRPr="004668DA" w:rsidRDefault="00D878F1" w:rsidP="00D878F1">
      <w:r w:rsidRPr="004668DA">
        <w:t>The significant accounting policies that have been adopted in the preparation of this financial information are:</w:t>
      </w:r>
    </w:p>
    <w:p w14:paraId="0B9E6586" w14:textId="77777777" w:rsidR="00D878F1" w:rsidRPr="009322A8" w:rsidRDefault="00D878F1" w:rsidP="00D878F1">
      <w:pPr>
        <w:pStyle w:val="Heading5"/>
      </w:pPr>
      <w:r w:rsidRPr="00110B9B">
        <w:t>Basis</w:t>
      </w:r>
      <w:r w:rsidRPr="009322A8">
        <w:t xml:space="preserve"> of preparation</w:t>
      </w:r>
    </w:p>
    <w:p w14:paraId="56A98D3C" w14:textId="77777777" w:rsidR="00D878F1" w:rsidRPr="00983E57" w:rsidRDefault="00D878F1" w:rsidP="00D878F1">
      <w:pPr>
        <w:pStyle w:val="NormalIndent"/>
        <w:ind w:left="0"/>
      </w:pPr>
      <w:r>
        <w:t>This</w:t>
      </w:r>
      <w:r w:rsidRPr="00983E57">
        <w:t xml:space="preserve"> special purpose financial information </w:t>
      </w:r>
      <w:r>
        <w:t>is</w:t>
      </w:r>
      <w:r w:rsidRPr="00983E57">
        <w:t xml:space="preserve"> required under section 183 of the </w:t>
      </w:r>
      <w:r w:rsidRPr="00F71080">
        <w:rPr>
          <w:rStyle w:val="Emphasis"/>
        </w:rPr>
        <w:t>Australian Securities and Investments Commission Act 2001</w:t>
      </w:r>
      <w:r w:rsidRPr="00983E57">
        <w:t xml:space="preserve">. </w:t>
      </w:r>
    </w:p>
    <w:p w14:paraId="419C228B" w14:textId="77777777" w:rsidR="00D878F1" w:rsidRPr="00983E57" w:rsidRDefault="00D878F1" w:rsidP="00D878F1">
      <w:pPr>
        <w:pStyle w:val="NormalIndent"/>
        <w:ind w:left="0"/>
      </w:pPr>
      <w:r w:rsidRPr="00983E57">
        <w:t>The financial information has been prepared on an accrual basis</w:t>
      </w:r>
      <w:r>
        <w:t xml:space="preserve"> and are presented in Australian dollars.</w:t>
      </w:r>
    </w:p>
    <w:p w14:paraId="1DE60FFB" w14:textId="77777777" w:rsidR="00D878F1" w:rsidRPr="008715D6" w:rsidRDefault="00D878F1" w:rsidP="00D878F1">
      <w:pPr>
        <w:pStyle w:val="Heading5"/>
      </w:pPr>
      <w:r w:rsidRPr="00AD02A4">
        <w:t xml:space="preserve">Revenue </w:t>
      </w:r>
    </w:p>
    <w:p w14:paraId="1DFFCFBA" w14:textId="11270C30" w:rsidR="00D878F1" w:rsidRPr="00983E57" w:rsidRDefault="00D878F1" w:rsidP="00D878F1">
      <w:pPr>
        <w:pStyle w:val="NormalIndent"/>
        <w:ind w:left="0"/>
      </w:pPr>
      <w:r w:rsidRPr="00983E57">
        <w:t>Revenue represents the Panel</w:t>
      </w:r>
      <w:r w:rsidR="008941F8">
        <w:t>’</w:t>
      </w:r>
      <w:r w:rsidRPr="00983E57">
        <w:t>s budget allocation of Treasury</w:t>
      </w:r>
      <w:r w:rsidR="008941F8">
        <w:t>’</w:t>
      </w:r>
      <w:r w:rsidRPr="00983E57">
        <w:t>s appropriation (revenue from Government) for the financial year.</w:t>
      </w:r>
      <w:r w:rsidRPr="00983E57" w:rsidDel="00547343">
        <w:t xml:space="preserve"> </w:t>
      </w:r>
      <w:r w:rsidRPr="00983E57">
        <w:t xml:space="preserve">Other revenue represents retained revenue receipts under section 74 of the </w:t>
      </w:r>
      <w:r w:rsidRPr="00F71080">
        <w:rPr>
          <w:rStyle w:val="Emphasis"/>
        </w:rPr>
        <w:t>Public Governance, Performance and Accountability Act 2013</w:t>
      </w:r>
      <w:r w:rsidRPr="00983E57">
        <w:t>.</w:t>
      </w:r>
    </w:p>
    <w:p w14:paraId="79D0C73E" w14:textId="77777777" w:rsidR="00D878F1" w:rsidRPr="00983E57" w:rsidRDefault="00D878F1" w:rsidP="00D878F1">
      <w:pPr>
        <w:pStyle w:val="Heading5"/>
      </w:pPr>
      <w:r w:rsidRPr="00983E57">
        <w:t>Expenses</w:t>
      </w:r>
    </w:p>
    <w:p w14:paraId="597889F6" w14:textId="77777777" w:rsidR="00D878F1" w:rsidRPr="00983E57" w:rsidRDefault="00D878F1" w:rsidP="00D878F1">
      <w:pPr>
        <w:pStyle w:val="NormalIndent"/>
        <w:ind w:left="0"/>
      </w:pPr>
      <w:r w:rsidRPr="00983E57">
        <w:t>Expenses are recognised on an accruals basis</w:t>
      </w:r>
      <w:r>
        <w:t xml:space="preserve"> and only relate to the direct costs of the Panel.</w:t>
      </w:r>
    </w:p>
    <w:p w14:paraId="005186B3" w14:textId="77777777" w:rsidR="00D878F1" w:rsidRPr="0017188C" w:rsidRDefault="00D878F1" w:rsidP="00D878F1">
      <w:pPr>
        <w:pStyle w:val="Heading5"/>
      </w:pPr>
      <w:r w:rsidRPr="0017188C">
        <w:t xml:space="preserve">Surplus </w:t>
      </w:r>
    </w:p>
    <w:p w14:paraId="52A93CD2" w14:textId="3EA8D9E1" w:rsidR="00D878F1" w:rsidRPr="00983E57" w:rsidRDefault="00D878F1" w:rsidP="00D878F1">
      <w:pPr>
        <w:pStyle w:val="NormalIndent"/>
        <w:ind w:left="0"/>
        <w:rPr>
          <w:rFonts w:ascii="Arial Bold" w:hAnsi="Arial Bold"/>
          <w:b/>
          <w:i/>
          <w:color w:val="1F497D" w:themeColor="text2"/>
          <w:lang w:eastAsia="en-AU"/>
        </w:rPr>
      </w:pPr>
      <w:r w:rsidRPr="0017188C">
        <w:t>The surplus represents the Panel</w:t>
      </w:r>
      <w:r w:rsidR="008941F8">
        <w:t>’</w:t>
      </w:r>
      <w:r w:rsidRPr="0017188C">
        <w:t xml:space="preserve">s underspend against its budget allocation for the </w:t>
      </w:r>
      <w:r>
        <w:t>2023–</w:t>
      </w:r>
      <w:r w:rsidR="00F71080">
        <w:t>‍</w:t>
      </w:r>
      <w:r>
        <w:t>24</w:t>
      </w:r>
      <w:r w:rsidRPr="0017188C">
        <w:t xml:space="preserve"> financial year.</w:t>
      </w:r>
      <w:r w:rsidRPr="00983E57" w:rsidDel="00547343">
        <w:t xml:space="preserve"> </w:t>
      </w:r>
    </w:p>
    <w:p w14:paraId="418F1C2F" w14:textId="4122FF36" w:rsidR="00D878F1" w:rsidRPr="00983E57" w:rsidRDefault="00D878F1" w:rsidP="00D878F1">
      <w:pPr>
        <w:pStyle w:val="Heading5"/>
      </w:pPr>
      <w:r w:rsidRPr="00983E57">
        <w:t>Salaries and members</w:t>
      </w:r>
      <w:r w:rsidR="008941F8">
        <w:t>’</w:t>
      </w:r>
      <w:r w:rsidRPr="00983E57">
        <w:t xml:space="preserve"> annual </w:t>
      </w:r>
      <w:r>
        <w:t xml:space="preserve">retainer </w:t>
      </w:r>
      <w:r w:rsidRPr="00983E57">
        <w:t>and sitting fees</w:t>
      </w:r>
    </w:p>
    <w:p w14:paraId="2A38FB69" w14:textId="77777777" w:rsidR="00D878F1" w:rsidRPr="00983E57" w:rsidRDefault="00D878F1" w:rsidP="00D878F1">
      <w:pPr>
        <w:pStyle w:val="NormalIndent"/>
        <w:ind w:left="0"/>
      </w:pPr>
      <w:r w:rsidRPr="00983E57">
        <w:t>Salaries and member sitting fees are recognised as they occur.</w:t>
      </w:r>
    </w:p>
    <w:p w14:paraId="6711B7CB" w14:textId="4B2B87EE" w:rsidR="00D878F1" w:rsidRPr="00983E57" w:rsidRDefault="00D878F1" w:rsidP="00D878F1">
      <w:pPr>
        <w:pStyle w:val="NormalIndent"/>
        <w:ind w:left="0"/>
      </w:pPr>
      <w:r w:rsidRPr="00983E57">
        <w:t>Salaries for the financial year include payments to firms for secondees</w:t>
      </w:r>
      <w:r w:rsidR="008941F8">
        <w:t>’</w:t>
      </w:r>
      <w:r w:rsidRPr="00983E57">
        <w:t xml:space="preserve"> services. The payments are treated as payments for </w:t>
      </w:r>
      <w:r>
        <w:t>wages and salaries</w:t>
      </w:r>
      <w:r w:rsidRPr="00983E57">
        <w:t>, not consultants.</w:t>
      </w:r>
    </w:p>
    <w:p w14:paraId="2DC4DFFB" w14:textId="77777777" w:rsidR="00D878F1" w:rsidRPr="00983E57" w:rsidRDefault="00D878F1" w:rsidP="00D878F1">
      <w:pPr>
        <w:pStyle w:val="Heading5"/>
      </w:pPr>
      <w:r w:rsidRPr="00983E57">
        <w:t>GST</w:t>
      </w:r>
    </w:p>
    <w:p w14:paraId="74D175F9" w14:textId="77777777" w:rsidR="00D878F1" w:rsidRPr="009322A8" w:rsidRDefault="00D878F1" w:rsidP="00D878F1">
      <w:pPr>
        <w:pStyle w:val="NormalIndent"/>
        <w:ind w:left="0"/>
      </w:pPr>
      <w:r w:rsidRPr="00983E57">
        <w:t>Revenue and expenses are recognised net of goods and services tax.</w:t>
      </w:r>
    </w:p>
    <w:p w14:paraId="4A633D45" w14:textId="0468A653" w:rsidR="009322A8" w:rsidRDefault="00DC3053" w:rsidP="00DC3053">
      <w:pPr>
        <w:spacing w:after="0" w:line="240" w:lineRule="auto"/>
        <w:sectPr w:rsidR="009322A8" w:rsidSect="00666211">
          <w:headerReference w:type="even" r:id="rId50"/>
          <w:headerReference w:type="default" r:id="rId51"/>
          <w:footerReference w:type="even" r:id="rId52"/>
          <w:footerReference w:type="default" r:id="rId53"/>
          <w:headerReference w:type="first" r:id="rId54"/>
          <w:type w:val="oddPage"/>
          <w:pgSz w:w="11907" w:h="16840" w:code="9"/>
          <w:pgMar w:top="2466" w:right="2098" w:bottom="2466" w:left="2098" w:header="1899" w:footer="1899" w:gutter="0"/>
          <w:pgBorders w:offsetFrom="page">
            <w:bottom w:val="single" w:sz="2" w:space="24" w:color="1F497D" w:themeColor="text2"/>
          </w:pgBorders>
          <w:cols w:space="720"/>
          <w:titlePg/>
          <w:docGrid w:linePitch="286"/>
        </w:sectPr>
      </w:pPr>
      <w:r>
        <w:br w:type="page"/>
      </w:r>
    </w:p>
    <w:p w14:paraId="571C6B7A" w14:textId="2BA65FC4" w:rsidR="006555DE" w:rsidRPr="00850B8A" w:rsidRDefault="00CC73CE" w:rsidP="00382254">
      <w:pPr>
        <w:pStyle w:val="Heading1"/>
      </w:pPr>
      <w:bookmarkStart w:id="319" w:name="_Toc332277176"/>
      <w:bookmarkStart w:id="320" w:name="_Toc362608087"/>
      <w:bookmarkStart w:id="321" w:name="_Toc174632406"/>
      <w:r>
        <w:lastRenderedPageBreak/>
        <w:t>Part </w:t>
      </w:r>
      <w:bookmarkEnd w:id="311"/>
      <w:bookmarkEnd w:id="312"/>
      <w:r w:rsidR="00AE31C6">
        <w:t>5</w:t>
      </w:r>
      <w:r w:rsidR="00CD2FE5">
        <w:t xml:space="preserve"> – </w:t>
      </w:r>
      <w:bookmarkStart w:id="322" w:name="_Toc204591238"/>
      <w:bookmarkStart w:id="323" w:name="_Toc204591297"/>
      <w:r w:rsidR="00A352C1">
        <w:t>M</w:t>
      </w:r>
      <w:r w:rsidR="00B928C4" w:rsidRPr="00850B8A">
        <w:t xml:space="preserve">anagement and </w:t>
      </w:r>
      <w:r w:rsidR="00A352C1">
        <w:t>A</w:t>
      </w:r>
      <w:r w:rsidR="00B928C4" w:rsidRPr="00850B8A">
        <w:t>ccountability</w:t>
      </w:r>
      <w:bookmarkEnd w:id="307"/>
      <w:bookmarkEnd w:id="308"/>
      <w:bookmarkEnd w:id="309"/>
      <w:bookmarkEnd w:id="310"/>
      <w:bookmarkEnd w:id="313"/>
      <w:bookmarkEnd w:id="314"/>
      <w:bookmarkEnd w:id="315"/>
      <w:bookmarkEnd w:id="316"/>
      <w:bookmarkEnd w:id="317"/>
      <w:bookmarkEnd w:id="318"/>
      <w:bookmarkEnd w:id="319"/>
      <w:bookmarkEnd w:id="320"/>
      <w:bookmarkEnd w:id="321"/>
      <w:bookmarkEnd w:id="322"/>
      <w:bookmarkEnd w:id="323"/>
      <w:r w:rsidR="00D04E8C" w:rsidRPr="003B3492">
        <w:fldChar w:fldCharType="begin"/>
      </w:r>
      <w:r w:rsidR="00B928C4" w:rsidRPr="003B3492">
        <w:instrText>xe "</w:instrText>
      </w:r>
      <w:r w:rsidR="003B3492" w:rsidRPr="003B3492">
        <w:instrText>M</w:instrText>
      </w:r>
      <w:r w:rsidR="00B928C4" w:rsidRPr="003B3492">
        <w:instrText>anagement and accountability"</w:instrText>
      </w:r>
      <w:r w:rsidR="00D04E8C" w:rsidRPr="003B3492">
        <w:fldChar w:fldCharType="end"/>
      </w:r>
    </w:p>
    <w:p w14:paraId="571C6B7B" w14:textId="77777777" w:rsidR="006555DE" w:rsidRPr="003914E7" w:rsidRDefault="006555DE" w:rsidP="00286051">
      <w:pPr>
        <w:pStyle w:val="Heading2"/>
      </w:pPr>
      <w:bookmarkStart w:id="324" w:name="_Toc143338247"/>
      <w:bookmarkStart w:id="325" w:name="_Toc143340312"/>
      <w:bookmarkStart w:id="326" w:name="_Toc143418687"/>
      <w:bookmarkStart w:id="327" w:name="_Toc143420196"/>
      <w:bookmarkStart w:id="328" w:name="_Toc177204270"/>
      <w:bookmarkStart w:id="329" w:name="_Toc204589494"/>
      <w:bookmarkStart w:id="330" w:name="_Toc204590155"/>
      <w:bookmarkStart w:id="331" w:name="_Toc204591239"/>
      <w:bookmarkStart w:id="332" w:name="_Toc204591298"/>
      <w:bookmarkStart w:id="333" w:name="_Toc204591410"/>
      <w:bookmarkStart w:id="334" w:name="_Toc207163427"/>
      <w:bookmarkStart w:id="335" w:name="_Toc332277177"/>
      <w:bookmarkStart w:id="336" w:name="_Toc174632407"/>
      <w:r w:rsidRPr="003914E7">
        <w:t>External scrutiny</w:t>
      </w:r>
      <w:bookmarkEnd w:id="324"/>
      <w:bookmarkEnd w:id="325"/>
      <w:bookmarkEnd w:id="326"/>
      <w:bookmarkEnd w:id="327"/>
      <w:bookmarkEnd w:id="328"/>
      <w:bookmarkEnd w:id="329"/>
      <w:bookmarkEnd w:id="330"/>
      <w:bookmarkEnd w:id="331"/>
      <w:bookmarkEnd w:id="332"/>
      <w:bookmarkEnd w:id="333"/>
      <w:bookmarkEnd w:id="334"/>
      <w:bookmarkEnd w:id="335"/>
      <w:bookmarkEnd w:id="336"/>
      <w:r w:rsidR="00734F4B">
        <w:t xml:space="preserve"> </w:t>
      </w:r>
      <w:r w:rsidR="00734F4B" w:rsidRPr="003914E7">
        <w:fldChar w:fldCharType="begin"/>
      </w:r>
      <w:r w:rsidR="00734F4B" w:rsidRPr="003914E7">
        <w:instrText>xe "</w:instrText>
      </w:r>
      <w:r w:rsidR="00734F4B">
        <w:instrText>External scrutiny</w:instrText>
      </w:r>
      <w:r w:rsidR="00734F4B" w:rsidRPr="003914E7">
        <w:instrText>"</w:instrText>
      </w:r>
      <w:r w:rsidR="00734F4B" w:rsidRPr="003914E7">
        <w:fldChar w:fldCharType="end"/>
      </w:r>
    </w:p>
    <w:p w14:paraId="571C6B7C" w14:textId="0C095560" w:rsidR="006555DE" w:rsidRDefault="006555DE">
      <w:r w:rsidRPr="00A942BA">
        <w:t xml:space="preserve">Panel decisions </w:t>
      </w:r>
      <w:r w:rsidR="00DA52A2" w:rsidRPr="00A942BA">
        <w:t>in relation to unacceptable circumstances and orders are subject to internal review by another Panel.</w:t>
      </w:r>
      <w:r w:rsidR="00DA52A2" w:rsidRPr="00A942BA">
        <w:rPr>
          <w:rStyle w:val="FootnoteReference"/>
        </w:rPr>
        <w:footnoteReference w:id="24"/>
      </w:r>
      <w:r w:rsidR="00DA52A2" w:rsidRPr="00A942BA">
        <w:t xml:space="preserve"> </w:t>
      </w:r>
      <w:r w:rsidR="00240ED4" w:rsidRPr="00A942BA">
        <w:t>All Panel decisions are subject to judicial review.</w:t>
      </w:r>
      <w:r w:rsidR="00240ED4" w:rsidRPr="00A942BA">
        <w:rPr>
          <w:rStyle w:val="FootnoteReference"/>
        </w:rPr>
        <w:footnoteReference w:id="25"/>
      </w:r>
      <w:r w:rsidR="00240ED4" w:rsidRPr="00A942BA">
        <w:t xml:space="preserve"> However, m</w:t>
      </w:r>
      <w:r w:rsidR="00DA52A2" w:rsidRPr="00A942BA">
        <w:t>ost reviews of Panel decisions end with the review Panel process.</w:t>
      </w:r>
    </w:p>
    <w:p w14:paraId="5D1CEC56" w14:textId="19729E09" w:rsidR="00D014DD" w:rsidRPr="00850B8A" w:rsidRDefault="00D014DD">
      <w:r>
        <w:t xml:space="preserve">See </w:t>
      </w:r>
      <w:r w:rsidR="00CC73CE">
        <w:t>Table </w:t>
      </w:r>
      <w:r>
        <w:t>1</w:t>
      </w:r>
      <w:r w:rsidR="00827314">
        <w:t>4</w:t>
      </w:r>
      <w:r>
        <w:t xml:space="preserve"> for a breakdown of Panel review proceedings.</w:t>
      </w:r>
    </w:p>
    <w:p w14:paraId="571C6B7D" w14:textId="77777777" w:rsidR="006555DE" w:rsidRPr="00286051" w:rsidRDefault="006555DE" w:rsidP="00286051">
      <w:pPr>
        <w:pStyle w:val="Heading3"/>
      </w:pPr>
      <w:bookmarkStart w:id="337" w:name="_Toc204589496"/>
      <w:r w:rsidRPr="003914E7">
        <w:t>Government scrutiny</w:t>
      </w:r>
      <w:bookmarkEnd w:id="337"/>
    </w:p>
    <w:p w14:paraId="571C6B7E" w14:textId="66B41D5A" w:rsidR="007A034B" w:rsidRPr="00CF42DC" w:rsidRDefault="006555DE">
      <w:r w:rsidRPr="00CF42DC">
        <w:t>The Panel was not subject to any reports by the ANAO</w:t>
      </w:r>
      <w:r w:rsidR="007176A9" w:rsidRPr="00CF42DC">
        <w:t xml:space="preserve"> in 20</w:t>
      </w:r>
      <w:r w:rsidR="004A0539" w:rsidRPr="00CF42DC">
        <w:t>2</w:t>
      </w:r>
      <w:r w:rsidR="00CF42DC" w:rsidRPr="00CF42DC">
        <w:t>3</w:t>
      </w:r>
      <w:r w:rsidR="00FF4DB7">
        <w:t>–</w:t>
      </w:r>
      <w:r w:rsidR="00CF42DC" w:rsidRPr="00CF42DC">
        <w:t>24</w:t>
      </w:r>
      <w:r w:rsidR="006B6647" w:rsidRPr="00CF42DC">
        <w:t>.</w:t>
      </w:r>
    </w:p>
    <w:p w14:paraId="571C6B81" w14:textId="6790BE6D" w:rsidR="006555DE" w:rsidRPr="00CF42DC" w:rsidRDefault="00850B8A" w:rsidP="00685836">
      <w:r w:rsidRPr="00CF42DC">
        <w:t>T</w:t>
      </w:r>
      <w:r w:rsidR="006555DE" w:rsidRPr="00CF42DC">
        <w:t>he Panel</w:t>
      </w:r>
      <w:r w:rsidR="003E265B" w:rsidRPr="00CF42DC">
        <w:t xml:space="preserve"> </w:t>
      </w:r>
      <w:r w:rsidRPr="00CF42DC">
        <w:t xml:space="preserve">attends </w:t>
      </w:r>
      <w:r w:rsidR="006555DE" w:rsidRPr="00CF42DC">
        <w:t>hearings of the Senate Standing Committee on Economics Estimates</w:t>
      </w:r>
      <w:r w:rsidRPr="00CF42DC">
        <w:t xml:space="preserve"> </w:t>
      </w:r>
      <w:r w:rsidR="00C73075" w:rsidRPr="00CF42DC">
        <w:t xml:space="preserve">and the Parliamentary Joint Committee on Corporations and Financial Services </w:t>
      </w:r>
      <w:r w:rsidRPr="00CF42DC">
        <w:t>as</w:t>
      </w:r>
      <w:r w:rsidR="00F873C1" w:rsidRPr="00CF42DC">
        <w:t> </w:t>
      </w:r>
      <w:r w:rsidRPr="00CF42DC">
        <w:t>required.</w:t>
      </w:r>
      <w:r w:rsidR="00F33461" w:rsidRPr="00CF42DC">
        <w:rPr>
          <w:rStyle w:val="FootnoteReference"/>
        </w:rPr>
        <w:footnoteReference w:id="26"/>
      </w:r>
      <w:r w:rsidR="004106FC" w:rsidRPr="00CF42DC">
        <w:rPr>
          <w:rStyle w:val="FootnoteReference"/>
        </w:rPr>
        <w:t xml:space="preserve"> </w:t>
      </w:r>
    </w:p>
    <w:p w14:paraId="571C6B82" w14:textId="77777777" w:rsidR="006555DE" w:rsidRPr="003914E7" w:rsidRDefault="006555DE" w:rsidP="00286051">
      <w:pPr>
        <w:pStyle w:val="Heading3"/>
      </w:pPr>
      <w:bookmarkStart w:id="338" w:name="_Toc204589497"/>
      <w:r w:rsidRPr="003914E7">
        <w:t>Ombudsman</w:t>
      </w:r>
      <w:bookmarkEnd w:id="338"/>
    </w:p>
    <w:p w14:paraId="571C6B83" w14:textId="1336509E" w:rsidR="006555DE" w:rsidRDefault="006555DE">
      <w:r w:rsidRPr="00CF42DC">
        <w:t>The Panel was not</w:t>
      </w:r>
      <w:r w:rsidR="0035507E" w:rsidRPr="00CF42DC">
        <w:t xml:space="preserve"> aware of </w:t>
      </w:r>
      <w:r w:rsidRPr="00CF42DC">
        <w:t>any reports by the Commonwealth Ombudsman in 20</w:t>
      </w:r>
      <w:r w:rsidR="004A0539" w:rsidRPr="00CF42DC">
        <w:t>2</w:t>
      </w:r>
      <w:r w:rsidR="00CF42DC" w:rsidRPr="00CF42DC">
        <w:t>3</w:t>
      </w:r>
      <w:r w:rsidR="00FF4DB7">
        <w:t>–</w:t>
      </w:r>
      <w:r w:rsidR="00CF42DC" w:rsidRPr="00CF42DC">
        <w:t>24</w:t>
      </w:r>
      <w:r w:rsidR="003D2057" w:rsidRPr="00CF42DC">
        <w:t xml:space="preserve"> in relation to the Panel</w:t>
      </w:r>
      <w:r w:rsidRPr="00CF42DC">
        <w:t>.</w:t>
      </w:r>
    </w:p>
    <w:p w14:paraId="571C6B84" w14:textId="77777777" w:rsidR="0067129A" w:rsidRPr="003914E7" w:rsidRDefault="0067129A" w:rsidP="00286051">
      <w:pPr>
        <w:pStyle w:val="Heading2"/>
      </w:pPr>
      <w:bookmarkStart w:id="339" w:name="_Toc174632408"/>
      <w:bookmarkStart w:id="340" w:name="_Hlk173248603"/>
      <w:r w:rsidRPr="003914E7">
        <w:t>Management of human resources</w:t>
      </w:r>
      <w:bookmarkEnd w:id="339"/>
      <w:r w:rsidR="00746995" w:rsidRPr="003914E7">
        <w:fldChar w:fldCharType="begin"/>
      </w:r>
      <w:r w:rsidR="00746995" w:rsidRPr="003914E7">
        <w:instrText>xe "</w:instrText>
      </w:r>
      <w:r w:rsidR="003B3492" w:rsidRPr="003914E7">
        <w:instrText>M</w:instrText>
      </w:r>
      <w:r w:rsidR="00746995" w:rsidRPr="003914E7">
        <w:instrText>anagement of human resources"</w:instrText>
      </w:r>
      <w:r w:rsidR="00746995" w:rsidRPr="003914E7">
        <w:fldChar w:fldCharType="end"/>
      </w:r>
    </w:p>
    <w:p w14:paraId="571C6B85" w14:textId="77777777" w:rsidR="006555DE" w:rsidRPr="003914E7" w:rsidRDefault="006555DE" w:rsidP="00286051">
      <w:pPr>
        <w:pStyle w:val="Heading3"/>
      </w:pPr>
      <w:bookmarkStart w:id="341" w:name="_Toc204589499"/>
      <w:bookmarkStart w:id="342" w:name="_Toc143338249"/>
      <w:bookmarkStart w:id="343" w:name="_Toc143340314"/>
      <w:bookmarkStart w:id="344" w:name="_Toc143418689"/>
      <w:bookmarkStart w:id="345" w:name="_Toc143420198"/>
      <w:bookmarkStart w:id="346" w:name="_Toc177204272"/>
      <w:r w:rsidRPr="003914E7">
        <w:t>Staffing</w:t>
      </w:r>
      <w:bookmarkEnd w:id="341"/>
      <w:r w:rsidR="00D04E8C" w:rsidRPr="003914E7">
        <w:fldChar w:fldCharType="begin"/>
      </w:r>
      <w:r w:rsidRPr="003914E7">
        <w:instrText>xe "Staffing"</w:instrText>
      </w:r>
      <w:r w:rsidR="00D04E8C" w:rsidRPr="003914E7">
        <w:fldChar w:fldCharType="end"/>
      </w:r>
      <w:r w:rsidRPr="003914E7">
        <w:t xml:space="preserve"> </w:t>
      </w:r>
      <w:bookmarkEnd w:id="342"/>
      <w:bookmarkEnd w:id="343"/>
      <w:bookmarkEnd w:id="344"/>
      <w:bookmarkEnd w:id="345"/>
      <w:bookmarkEnd w:id="346"/>
    </w:p>
    <w:p w14:paraId="571C6B86" w14:textId="6F8B0A30" w:rsidR="006555DE" w:rsidRPr="00603084" w:rsidRDefault="006555DE">
      <w:r w:rsidRPr="00CF42DC">
        <w:t>At 30 June 20</w:t>
      </w:r>
      <w:r w:rsidR="00371EEA" w:rsidRPr="00CF42DC">
        <w:t>2</w:t>
      </w:r>
      <w:r w:rsidR="00EB3C08">
        <w:t>4</w:t>
      </w:r>
      <w:r w:rsidRPr="00CF42DC">
        <w:t xml:space="preserve">, the </w:t>
      </w:r>
      <w:r w:rsidR="007F478A" w:rsidRPr="00CF42DC">
        <w:t>e</w:t>
      </w:r>
      <w:r w:rsidRPr="00CF42DC">
        <w:t>xecutive</w:t>
      </w:r>
      <w:r w:rsidR="00D04E8C" w:rsidRPr="00CF42DC">
        <w:fldChar w:fldCharType="begin"/>
      </w:r>
      <w:r w:rsidRPr="00CF42DC">
        <w:instrText>xe "Executive"</w:instrText>
      </w:r>
      <w:r w:rsidR="00D04E8C" w:rsidRPr="00CF42DC">
        <w:fldChar w:fldCharType="end"/>
      </w:r>
      <w:r w:rsidRPr="00CF42DC">
        <w:t xml:space="preserve"> </w:t>
      </w:r>
      <w:r w:rsidR="00AB3BD1" w:rsidRPr="00CF42DC">
        <w:t xml:space="preserve">consisted of </w:t>
      </w:r>
      <w:r w:rsidR="00CF42DC" w:rsidRPr="00CF42DC">
        <w:t>five</w:t>
      </w:r>
      <w:r w:rsidR="00371EEA" w:rsidRPr="00CF42DC">
        <w:t xml:space="preserve"> </w:t>
      </w:r>
      <w:r w:rsidRPr="00CF42DC">
        <w:t>permanent staff</w:t>
      </w:r>
      <w:r w:rsidR="00D1760B" w:rsidRPr="00CF42DC">
        <w:t xml:space="preserve"> (</w:t>
      </w:r>
      <w:r w:rsidR="00CF42DC" w:rsidRPr="00CF42DC">
        <w:t>two</w:t>
      </w:r>
      <w:r w:rsidR="00D1760B" w:rsidRPr="00CF42DC">
        <w:t xml:space="preserve"> on long term leave)</w:t>
      </w:r>
      <w:r w:rsidR="005A3C9F" w:rsidRPr="00CF42DC">
        <w:t xml:space="preserve">, </w:t>
      </w:r>
      <w:r w:rsidR="00CF42DC" w:rsidRPr="00CF42DC">
        <w:t>one</w:t>
      </w:r>
      <w:r w:rsidR="00D1760B" w:rsidRPr="00CF42DC">
        <w:t xml:space="preserve"> </w:t>
      </w:r>
      <w:r w:rsidR="005A3C9F" w:rsidRPr="00CF42DC">
        <w:t>non</w:t>
      </w:r>
      <w:r w:rsidR="008941F8">
        <w:noBreakHyphen/>
      </w:r>
      <w:r w:rsidR="005A3C9F" w:rsidRPr="00CF42DC">
        <w:t>ongoing staff</w:t>
      </w:r>
      <w:r w:rsidR="001440A0" w:rsidRPr="00CF42DC">
        <w:t xml:space="preserve"> </w:t>
      </w:r>
      <w:r w:rsidRPr="00CF42DC">
        <w:t xml:space="preserve">and </w:t>
      </w:r>
      <w:r w:rsidR="00B34A07" w:rsidRPr="00CF42DC">
        <w:t xml:space="preserve">one </w:t>
      </w:r>
      <w:r w:rsidR="00510513" w:rsidRPr="00CF42DC">
        <w:t>legal</w:t>
      </w:r>
      <w:r w:rsidR="00D93313" w:rsidRPr="00CF42DC">
        <w:t xml:space="preserve"> </w:t>
      </w:r>
      <w:r w:rsidR="00510513" w:rsidRPr="00CF42DC">
        <w:t>secondee</w:t>
      </w:r>
      <w:r w:rsidRPr="00CF42DC">
        <w:t>.</w:t>
      </w:r>
      <w:r w:rsidR="00807D14" w:rsidRPr="00CF42DC">
        <w:rPr>
          <w:rStyle w:val="FootnoteReference"/>
        </w:rPr>
        <w:footnoteReference w:id="27"/>
      </w:r>
      <w:r w:rsidR="00661B65" w:rsidRPr="00CF42DC">
        <w:t xml:space="preserve"> </w:t>
      </w:r>
      <w:r w:rsidRPr="00CF42DC">
        <w:t xml:space="preserve">Permanent staff are employed under the </w:t>
      </w:r>
      <w:r w:rsidRPr="00FF4DB7">
        <w:rPr>
          <w:rStyle w:val="Emphasis"/>
        </w:rPr>
        <w:t>Public Service Act</w:t>
      </w:r>
      <w:r w:rsidR="00550FAF" w:rsidRPr="00FF4DB7">
        <w:rPr>
          <w:rStyle w:val="Emphasis"/>
        </w:rPr>
        <w:t> </w:t>
      </w:r>
      <w:r w:rsidRPr="00FF4DB7">
        <w:rPr>
          <w:rStyle w:val="Emphasis"/>
        </w:rPr>
        <w:t>1999</w:t>
      </w:r>
      <w:r w:rsidR="00550FAF" w:rsidRPr="00CF42DC">
        <w:t> </w:t>
      </w:r>
      <w:r w:rsidR="00477BFB" w:rsidRPr="00CF42DC">
        <w:t>(Cth)</w:t>
      </w:r>
      <w:r w:rsidRPr="00CF42DC">
        <w:rPr>
          <w:i/>
        </w:rPr>
        <w:t>.</w:t>
      </w:r>
    </w:p>
    <w:p w14:paraId="571C6B87" w14:textId="77777777" w:rsidR="00330E2D" w:rsidRPr="008715D6" w:rsidRDefault="00330E2D" w:rsidP="008715D6">
      <w:bookmarkStart w:id="347" w:name="_Toc529007609"/>
      <w:bookmarkStart w:id="348" w:name="_Toc143340635"/>
      <w:bookmarkStart w:id="349" w:name="_Toc176854666"/>
      <w:bookmarkStart w:id="350" w:name="_Toc207510587"/>
      <w:r w:rsidRPr="008715D6">
        <w:br w:type="page"/>
      </w:r>
    </w:p>
    <w:p w14:paraId="571C6B88" w14:textId="6C1BB08A" w:rsidR="006555DE" w:rsidRPr="00EB3C08" w:rsidRDefault="00CC73CE" w:rsidP="00946668">
      <w:pPr>
        <w:pStyle w:val="TableMainHeading"/>
      </w:pPr>
      <w:bookmarkStart w:id="351" w:name="_Toc146790816"/>
      <w:r w:rsidRPr="00EB3C08">
        <w:lastRenderedPageBreak/>
        <w:t>Table </w:t>
      </w:r>
      <w:r w:rsidR="002D2C29">
        <w:t>8</w:t>
      </w:r>
      <w:r w:rsidR="006555DE" w:rsidRPr="00EB3C08">
        <w:t>: Operative staff by classification and gender</w:t>
      </w:r>
      <w:bookmarkEnd w:id="347"/>
      <w:bookmarkEnd w:id="348"/>
      <w:bookmarkEnd w:id="349"/>
      <w:bookmarkEnd w:id="350"/>
      <w:r w:rsidR="00240ED4" w:rsidRPr="00EB3C08">
        <w:rPr>
          <w:rStyle w:val="FootnoteReference"/>
        </w:rPr>
        <w:footnoteReference w:id="28"/>
      </w:r>
      <w:bookmarkEnd w:id="35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60" w:firstRow="1" w:lastRow="1" w:firstColumn="0" w:lastColumn="0" w:noHBand="1" w:noVBand="1"/>
      </w:tblPr>
      <w:tblGrid>
        <w:gridCol w:w="1975"/>
        <w:gridCol w:w="1434"/>
        <w:gridCol w:w="1434"/>
        <w:gridCol w:w="1434"/>
        <w:gridCol w:w="1434"/>
      </w:tblGrid>
      <w:tr w:rsidR="0000405E" w:rsidRPr="00EB3C08" w14:paraId="571C6B8C" w14:textId="77777777" w:rsidTr="00986FDF">
        <w:trPr>
          <w:tblHeader/>
        </w:trPr>
        <w:tc>
          <w:tcPr>
            <w:tcW w:w="1280" w:type="pct"/>
            <w:shd w:val="clear" w:color="auto" w:fill="0E406A" w:themeFill="accent1"/>
          </w:tcPr>
          <w:p w14:paraId="571C6B89" w14:textId="77777777" w:rsidR="0000405E" w:rsidRPr="00EB3C08" w:rsidRDefault="0000405E" w:rsidP="00286051">
            <w:pPr>
              <w:pStyle w:val="TableColumnHeadingCentred"/>
            </w:pPr>
          </w:p>
        </w:tc>
        <w:tc>
          <w:tcPr>
            <w:tcW w:w="1860" w:type="pct"/>
            <w:gridSpan w:val="2"/>
            <w:shd w:val="clear" w:color="auto" w:fill="0E406A" w:themeFill="accent1"/>
          </w:tcPr>
          <w:p w14:paraId="571C6B8A" w14:textId="77777777" w:rsidR="0000405E" w:rsidRPr="00EB3C08" w:rsidRDefault="0000405E" w:rsidP="00286051">
            <w:pPr>
              <w:pStyle w:val="TableColumnHeadingCentred"/>
            </w:pPr>
            <w:r w:rsidRPr="00EB3C08">
              <w:t>Full time</w:t>
            </w:r>
          </w:p>
        </w:tc>
        <w:tc>
          <w:tcPr>
            <w:tcW w:w="1859" w:type="pct"/>
            <w:gridSpan w:val="2"/>
            <w:shd w:val="clear" w:color="auto" w:fill="0E406A" w:themeFill="accent1"/>
          </w:tcPr>
          <w:p w14:paraId="571C6B8B" w14:textId="5E79F6FE" w:rsidR="0000405E" w:rsidRPr="00EB3C08" w:rsidRDefault="0000405E" w:rsidP="00286051">
            <w:pPr>
              <w:pStyle w:val="TableColumnHeadingCentred"/>
            </w:pPr>
            <w:r w:rsidRPr="00EB3C08">
              <w:t>Part time</w:t>
            </w:r>
          </w:p>
        </w:tc>
      </w:tr>
      <w:tr w:rsidR="0000405E" w:rsidRPr="00EB3C08" w14:paraId="571C6B91" w14:textId="77777777" w:rsidTr="00986FDF">
        <w:trPr>
          <w:tblHeader/>
        </w:trPr>
        <w:tc>
          <w:tcPr>
            <w:tcW w:w="1280" w:type="pct"/>
            <w:shd w:val="clear" w:color="auto" w:fill="0E406A" w:themeFill="accent1"/>
          </w:tcPr>
          <w:p w14:paraId="571C6B8D" w14:textId="77777777" w:rsidR="0000405E" w:rsidRPr="00EB3C08" w:rsidRDefault="0000405E" w:rsidP="00286051">
            <w:pPr>
              <w:pStyle w:val="TableColumnHeadingLeft"/>
            </w:pPr>
            <w:r w:rsidRPr="00EB3C08">
              <w:t>Classification</w:t>
            </w:r>
          </w:p>
        </w:tc>
        <w:tc>
          <w:tcPr>
            <w:tcW w:w="930" w:type="pct"/>
            <w:shd w:val="clear" w:color="auto" w:fill="0E406A" w:themeFill="accent1"/>
          </w:tcPr>
          <w:p w14:paraId="571C6B8E" w14:textId="77777777" w:rsidR="0000405E" w:rsidRPr="00EB3C08" w:rsidRDefault="0000405E" w:rsidP="00286051">
            <w:pPr>
              <w:pStyle w:val="TableColumnHeadingCentred"/>
            </w:pPr>
            <w:r w:rsidRPr="00EB3C08">
              <w:t>Male</w:t>
            </w:r>
          </w:p>
        </w:tc>
        <w:tc>
          <w:tcPr>
            <w:tcW w:w="930" w:type="pct"/>
            <w:shd w:val="clear" w:color="auto" w:fill="0E406A" w:themeFill="accent1"/>
          </w:tcPr>
          <w:p w14:paraId="571C6B8F" w14:textId="77777777" w:rsidR="0000405E" w:rsidRPr="00EB3C08" w:rsidRDefault="0000405E" w:rsidP="00286051">
            <w:pPr>
              <w:pStyle w:val="TableColumnHeadingCentred"/>
            </w:pPr>
            <w:r w:rsidRPr="00EB3C08">
              <w:t>Female</w:t>
            </w:r>
          </w:p>
        </w:tc>
        <w:tc>
          <w:tcPr>
            <w:tcW w:w="930" w:type="pct"/>
            <w:shd w:val="clear" w:color="auto" w:fill="0E406A" w:themeFill="accent1"/>
          </w:tcPr>
          <w:p w14:paraId="5D841768" w14:textId="36BA0770" w:rsidR="0000405E" w:rsidRPr="00EB3C08" w:rsidRDefault="0000405E" w:rsidP="00286051">
            <w:pPr>
              <w:pStyle w:val="TableColumnHeadingCentred"/>
            </w:pPr>
            <w:r w:rsidRPr="00EB3C08">
              <w:t>Female</w:t>
            </w:r>
          </w:p>
        </w:tc>
        <w:tc>
          <w:tcPr>
            <w:tcW w:w="930" w:type="pct"/>
            <w:shd w:val="clear" w:color="auto" w:fill="0E406A" w:themeFill="accent1"/>
          </w:tcPr>
          <w:p w14:paraId="571C6B90" w14:textId="58A2181E" w:rsidR="0000405E" w:rsidRPr="00EB3C08" w:rsidRDefault="0000405E" w:rsidP="00286051">
            <w:pPr>
              <w:pStyle w:val="TableColumnHeadingCentred"/>
            </w:pPr>
            <w:r w:rsidRPr="00EB3C08">
              <w:t>Total</w:t>
            </w:r>
          </w:p>
        </w:tc>
      </w:tr>
      <w:tr w:rsidR="0000405E" w:rsidRPr="00EB3C08" w14:paraId="571C6B96" w14:textId="77777777" w:rsidTr="00986FDF">
        <w:trPr>
          <w:trHeight w:val="159"/>
        </w:trPr>
        <w:tc>
          <w:tcPr>
            <w:tcW w:w="1280" w:type="pct"/>
            <w:tcBorders>
              <w:bottom w:val="single" w:sz="4" w:space="0" w:color="F2F2F2" w:themeColor="background1" w:themeShade="F2"/>
            </w:tcBorders>
          </w:tcPr>
          <w:p w14:paraId="571C6B92" w14:textId="097E5431" w:rsidR="0000405E" w:rsidRPr="00EB3C08" w:rsidRDefault="0000405E" w:rsidP="00B45A6D">
            <w:pPr>
              <w:pStyle w:val="TableTextLeft-Arial"/>
            </w:pPr>
            <w:r w:rsidRPr="00EB3C08">
              <w:t>APS</w:t>
            </w:r>
            <w:r w:rsidR="00326C28" w:rsidRPr="00EB3C08">
              <w:t>5 (a/g)</w:t>
            </w:r>
          </w:p>
        </w:tc>
        <w:tc>
          <w:tcPr>
            <w:tcW w:w="930" w:type="pct"/>
            <w:tcBorders>
              <w:bottom w:val="single" w:sz="4" w:space="0" w:color="F2F2F2" w:themeColor="background1" w:themeShade="F2"/>
            </w:tcBorders>
          </w:tcPr>
          <w:p w14:paraId="571C6B93" w14:textId="77777777" w:rsidR="0000405E" w:rsidRPr="00EB3C08" w:rsidRDefault="0000405E" w:rsidP="00286051">
            <w:pPr>
              <w:pStyle w:val="TableTextLeft-Arial"/>
              <w:jc w:val="center"/>
            </w:pPr>
          </w:p>
        </w:tc>
        <w:tc>
          <w:tcPr>
            <w:tcW w:w="930" w:type="pct"/>
            <w:tcBorders>
              <w:bottom w:val="single" w:sz="4" w:space="0" w:color="F2F2F2" w:themeColor="background1" w:themeShade="F2"/>
            </w:tcBorders>
          </w:tcPr>
          <w:p w14:paraId="571C6B94" w14:textId="77777777" w:rsidR="0000405E" w:rsidRPr="00EB3C08" w:rsidRDefault="0000405E" w:rsidP="00286051">
            <w:pPr>
              <w:pStyle w:val="TableTextLeft-Arial"/>
              <w:jc w:val="center"/>
            </w:pPr>
            <w:r w:rsidRPr="00EB3C08">
              <w:t>1</w:t>
            </w:r>
          </w:p>
        </w:tc>
        <w:tc>
          <w:tcPr>
            <w:tcW w:w="930" w:type="pct"/>
            <w:tcBorders>
              <w:bottom w:val="single" w:sz="4" w:space="0" w:color="F2F2F2" w:themeColor="background1" w:themeShade="F2"/>
            </w:tcBorders>
          </w:tcPr>
          <w:p w14:paraId="475F0A8A" w14:textId="63F77C88" w:rsidR="0000405E" w:rsidRPr="00EB3C08" w:rsidRDefault="0000405E" w:rsidP="00286051">
            <w:pPr>
              <w:pStyle w:val="TableTextLeft-Arial"/>
              <w:jc w:val="center"/>
            </w:pPr>
          </w:p>
        </w:tc>
        <w:tc>
          <w:tcPr>
            <w:tcW w:w="930" w:type="pct"/>
            <w:tcBorders>
              <w:bottom w:val="single" w:sz="4" w:space="0" w:color="F2F2F2" w:themeColor="background1" w:themeShade="F2"/>
            </w:tcBorders>
          </w:tcPr>
          <w:p w14:paraId="571C6B95" w14:textId="2F82C8D3" w:rsidR="0000405E" w:rsidRPr="00EB3C08" w:rsidRDefault="0000405E" w:rsidP="00286051">
            <w:pPr>
              <w:pStyle w:val="TableTextLeft-Arial"/>
              <w:jc w:val="center"/>
            </w:pPr>
            <w:r w:rsidRPr="00EB3C08">
              <w:t>1</w:t>
            </w:r>
          </w:p>
        </w:tc>
      </w:tr>
      <w:tr w:rsidR="0000405E" w:rsidRPr="00EB3C08" w14:paraId="571C6B9B" w14:textId="77777777" w:rsidTr="00986FDF">
        <w:tc>
          <w:tcPr>
            <w:tcW w:w="1280" w:type="pct"/>
            <w:tcBorders>
              <w:top w:val="single" w:sz="4" w:space="0" w:color="F2F2F2" w:themeColor="background1" w:themeShade="F2"/>
              <w:bottom w:val="single" w:sz="4" w:space="0" w:color="F2F2F2" w:themeColor="background1" w:themeShade="F2"/>
            </w:tcBorders>
          </w:tcPr>
          <w:p w14:paraId="571C6B97" w14:textId="1EDC357D" w:rsidR="0000405E" w:rsidRPr="00EB3C08" w:rsidRDefault="0000405E" w:rsidP="00B45A6D">
            <w:pPr>
              <w:pStyle w:val="TableTextLeft-Arial"/>
            </w:pPr>
            <w:r w:rsidRPr="00EB3C08">
              <w:t>APS6</w:t>
            </w:r>
            <w:r w:rsidR="00326C28" w:rsidRPr="00EB3C08">
              <w:t xml:space="preserve"> (a/g)</w:t>
            </w:r>
          </w:p>
        </w:tc>
        <w:tc>
          <w:tcPr>
            <w:tcW w:w="930" w:type="pct"/>
            <w:tcBorders>
              <w:top w:val="single" w:sz="4" w:space="0" w:color="F2F2F2" w:themeColor="background1" w:themeShade="F2"/>
              <w:bottom w:val="single" w:sz="4" w:space="0" w:color="F2F2F2" w:themeColor="background1" w:themeShade="F2"/>
            </w:tcBorders>
          </w:tcPr>
          <w:p w14:paraId="571C6B98" w14:textId="77777777"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571C6B99" w14:textId="77777777" w:rsidR="0000405E" w:rsidRPr="00EB3C08" w:rsidRDefault="0000405E" w:rsidP="00286051">
            <w:pPr>
              <w:pStyle w:val="TableTextLeft-Arial"/>
              <w:jc w:val="center"/>
            </w:pPr>
            <w:r w:rsidRPr="00EB3C08">
              <w:t>1</w:t>
            </w:r>
          </w:p>
        </w:tc>
        <w:tc>
          <w:tcPr>
            <w:tcW w:w="930" w:type="pct"/>
            <w:tcBorders>
              <w:top w:val="single" w:sz="4" w:space="0" w:color="F2F2F2" w:themeColor="background1" w:themeShade="F2"/>
              <w:bottom w:val="single" w:sz="4" w:space="0" w:color="F2F2F2" w:themeColor="background1" w:themeShade="F2"/>
            </w:tcBorders>
          </w:tcPr>
          <w:p w14:paraId="17ECE3D8" w14:textId="1EDAD5A3"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571C6B9A" w14:textId="24241957" w:rsidR="0000405E" w:rsidRPr="00EB3C08" w:rsidRDefault="0000405E" w:rsidP="00286051">
            <w:pPr>
              <w:pStyle w:val="TableTextLeft-Arial"/>
              <w:jc w:val="center"/>
            </w:pPr>
            <w:r w:rsidRPr="00EB3C08">
              <w:t>1</w:t>
            </w:r>
          </w:p>
        </w:tc>
      </w:tr>
      <w:tr w:rsidR="000B04CD" w:rsidRPr="00EB3C08" w14:paraId="622AD986" w14:textId="77777777" w:rsidTr="00986FDF">
        <w:tc>
          <w:tcPr>
            <w:tcW w:w="1280" w:type="pct"/>
            <w:tcBorders>
              <w:top w:val="single" w:sz="4" w:space="0" w:color="F2F2F2" w:themeColor="background1" w:themeShade="F2"/>
              <w:bottom w:val="single" w:sz="4" w:space="0" w:color="F2F2F2" w:themeColor="background1" w:themeShade="F2"/>
            </w:tcBorders>
          </w:tcPr>
          <w:p w14:paraId="2BBD446E" w14:textId="6AA167FB" w:rsidR="000B04CD" w:rsidRPr="00EB3C08" w:rsidRDefault="000B04CD" w:rsidP="00B45A6D">
            <w:pPr>
              <w:pStyle w:val="TableTextLeft-Arial"/>
            </w:pPr>
            <w:r w:rsidRPr="00EB3C08">
              <w:t>EL1</w:t>
            </w:r>
          </w:p>
        </w:tc>
        <w:tc>
          <w:tcPr>
            <w:tcW w:w="930" w:type="pct"/>
            <w:tcBorders>
              <w:top w:val="single" w:sz="4" w:space="0" w:color="F2F2F2" w:themeColor="background1" w:themeShade="F2"/>
              <w:bottom w:val="single" w:sz="4" w:space="0" w:color="F2F2F2" w:themeColor="background1" w:themeShade="F2"/>
            </w:tcBorders>
          </w:tcPr>
          <w:p w14:paraId="16F6FAAB" w14:textId="6534CEC5" w:rsidR="000B04CD" w:rsidRPr="00EB3C08" w:rsidRDefault="000B04CD" w:rsidP="00286051">
            <w:pPr>
              <w:pStyle w:val="TableTextLeft-Arial"/>
              <w:jc w:val="center"/>
            </w:pPr>
            <w:r w:rsidRPr="00EB3C08">
              <w:t>1</w:t>
            </w:r>
          </w:p>
        </w:tc>
        <w:tc>
          <w:tcPr>
            <w:tcW w:w="930" w:type="pct"/>
            <w:tcBorders>
              <w:top w:val="single" w:sz="4" w:space="0" w:color="F2F2F2" w:themeColor="background1" w:themeShade="F2"/>
              <w:bottom w:val="single" w:sz="4" w:space="0" w:color="F2F2F2" w:themeColor="background1" w:themeShade="F2"/>
            </w:tcBorders>
          </w:tcPr>
          <w:p w14:paraId="1BFB2945" w14:textId="77777777" w:rsidR="000B04CD" w:rsidRPr="00EB3C08" w:rsidRDefault="000B04CD"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0D6B09EC" w14:textId="77777777" w:rsidR="000B04CD" w:rsidRPr="00EB3C08" w:rsidRDefault="000B04CD"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5E684BA5" w14:textId="3B65B306" w:rsidR="000B04CD" w:rsidRPr="00EB3C08" w:rsidRDefault="000B04CD" w:rsidP="00286051">
            <w:pPr>
              <w:pStyle w:val="TableTextLeft-Arial"/>
              <w:jc w:val="center"/>
            </w:pPr>
            <w:r w:rsidRPr="00EB3C08">
              <w:t>1</w:t>
            </w:r>
          </w:p>
        </w:tc>
      </w:tr>
      <w:tr w:rsidR="0000405E" w:rsidRPr="00EB3C08" w14:paraId="14512FBC" w14:textId="77777777" w:rsidTr="00986FDF">
        <w:tc>
          <w:tcPr>
            <w:tcW w:w="1280" w:type="pct"/>
            <w:tcBorders>
              <w:top w:val="single" w:sz="4" w:space="0" w:color="F2F2F2" w:themeColor="background1" w:themeShade="F2"/>
              <w:bottom w:val="single" w:sz="4" w:space="0" w:color="F2F2F2" w:themeColor="background1" w:themeShade="F2"/>
            </w:tcBorders>
          </w:tcPr>
          <w:p w14:paraId="239150B0" w14:textId="44A57F02" w:rsidR="0000405E" w:rsidRPr="00EB3C08" w:rsidRDefault="0000405E" w:rsidP="00B45A6D">
            <w:pPr>
              <w:pStyle w:val="TableTextLeft-Arial"/>
            </w:pPr>
            <w:r w:rsidRPr="00EB3C08">
              <w:t>EL2</w:t>
            </w:r>
          </w:p>
        </w:tc>
        <w:tc>
          <w:tcPr>
            <w:tcW w:w="930" w:type="pct"/>
            <w:tcBorders>
              <w:top w:val="single" w:sz="4" w:space="0" w:color="F2F2F2" w:themeColor="background1" w:themeShade="F2"/>
              <w:bottom w:val="single" w:sz="4" w:space="0" w:color="F2F2F2" w:themeColor="background1" w:themeShade="F2"/>
            </w:tcBorders>
          </w:tcPr>
          <w:p w14:paraId="18D12A76" w14:textId="3A757EDB" w:rsidR="0000405E" w:rsidRPr="00EB3C08" w:rsidRDefault="000B04CD" w:rsidP="00286051">
            <w:pPr>
              <w:pStyle w:val="TableTextLeft-Arial"/>
              <w:jc w:val="center"/>
            </w:pPr>
            <w:r w:rsidRPr="00EB3C08">
              <w:t>1</w:t>
            </w:r>
          </w:p>
        </w:tc>
        <w:tc>
          <w:tcPr>
            <w:tcW w:w="930" w:type="pct"/>
            <w:tcBorders>
              <w:top w:val="single" w:sz="4" w:space="0" w:color="F2F2F2" w:themeColor="background1" w:themeShade="F2"/>
              <w:bottom w:val="single" w:sz="4" w:space="0" w:color="F2F2F2" w:themeColor="background1" w:themeShade="F2"/>
            </w:tcBorders>
          </w:tcPr>
          <w:p w14:paraId="2B569F06" w14:textId="5BB74944" w:rsidR="0000405E" w:rsidRPr="00EB3C08" w:rsidRDefault="00E97B93" w:rsidP="00286051">
            <w:pPr>
              <w:pStyle w:val="TableTextLeft-Arial"/>
              <w:jc w:val="center"/>
            </w:pPr>
            <w:r>
              <w:t>2</w:t>
            </w:r>
            <w:r w:rsidR="00BC01D7" w:rsidRPr="00EB3C08">
              <w:t>*</w:t>
            </w:r>
          </w:p>
        </w:tc>
        <w:tc>
          <w:tcPr>
            <w:tcW w:w="930" w:type="pct"/>
            <w:tcBorders>
              <w:top w:val="single" w:sz="4" w:space="0" w:color="F2F2F2" w:themeColor="background1" w:themeShade="F2"/>
              <w:bottom w:val="single" w:sz="4" w:space="0" w:color="F2F2F2" w:themeColor="background1" w:themeShade="F2"/>
            </w:tcBorders>
          </w:tcPr>
          <w:p w14:paraId="33BA0873" w14:textId="77600148"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351F7ED3" w14:textId="7E3C5823" w:rsidR="0000405E" w:rsidRPr="00EB3C08" w:rsidRDefault="000B04CD" w:rsidP="00286051">
            <w:pPr>
              <w:pStyle w:val="TableTextLeft-Arial"/>
              <w:jc w:val="center"/>
            </w:pPr>
            <w:r w:rsidRPr="00EB3C08">
              <w:t>3</w:t>
            </w:r>
          </w:p>
        </w:tc>
      </w:tr>
      <w:tr w:rsidR="0000405E" w:rsidRPr="00EB3C08" w14:paraId="571C6BA0" w14:textId="77777777" w:rsidTr="00986FDF">
        <w:tc>
          <w:tcPr>
            <w:tcW w:w="1280" w:type="pct"/>
            <w:tcBorders>
              <w:top w:val="single" w:sz="4" w:space="0" w:color="F2F2F2" w:themeColor="background1" w:themeShade="F2"/>
              <w:bottom w:val="single" w:sz="4" w:space="0" w:color="F2F2F2" w:themeColor="background1" w:themeShade="F2"/>
            </w:tcBorders>
          </w:tcPr>
          <w:p w14:paraId="571C6B9C" w14:textId="77777777" w:rsidR="0000405E" w:rsidRPr="00EB3C08" w:rsidRDefault="0000405E" w:rsidP="00B45A6D">
            <w:pPr>
              <w:pStyle w:val="TableTextLeft-Arial"/>
            </w:pPr>
            <w:r w:rsidRPr="00EB3C08">
              <w:t>SEB1</w:t>
            </w:r>
          </w:p>
        </w:tc>
        <w:tc>
          <w:tcPr>
            <w:tcW w:w="930" w:type="pct"/>
            <w:tcBorders>
              <w:top w:val="single" w:sz="4" w:space="0" w:color="F2F2F2" w:themeColor="background1" w:themeShade="F2"/>
              <w:bottom w:val="single" w:sz="4" w:space="0" w:color="F2F2F2" w:themeColor="background1" w:themeShade="F2"/>
            </w:tcBorders>
          </w:tcPr>
          <w:p w14:paraId="571C6B9D" w14:textId="77777777" w:rsidR="0000405E" w:rsidRPr="00EB3C08" w:rsidRDefault="0000405E" w:rsidP="00286051">
            <w:pPr>
              <w:pStyle w:val="TableTextLeft-Arial"/>
              <w:jc w:val="center"/>
            </w:pPr>
            <w:r w:rsidRPr="00EB3C08">
              <w:t>1</w:t>
            </w:r>
          </w:p>
        </w:tc>
        <w:tc>
          <w:tcPr>
            <w:tcW w:w="930" w:type="pct"/>
            <w:tcBorders>
              <w:top w:val="single" w:sz="4" w:space="0" w:color="F2F2F2" w:themeColor="background1" w:themeShade="F2"/>
              <w:bottom w:val="single" w:sz="4" w:space="0" w:color="F2F2F2" w:themeColor="background1" w:themeShade="F2"/>
            </w:tcBorders>
          </w:tcPr>
          <w:p w14:paraId="571C6B9E" w14:textId="77777777"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593F6709" w14:textId="3C458805"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F2F2F2" w:themeColor="background1" w:themeShade="F2"/>
            </w:tcBorders>
          </w:tcPr>
          <w:p w14:paraId="571C6B9F" w14:textId="02E2FE38" w:rsidR="0000405E" w:rsidRPr="00EB3C08" w:rsidRDefault="0000405E" w:rsidP="00286051">
            <w:pPr>
              <w:pStyle w:val="TableTextLeft-Arial"/>
              <w:jc w:val="center"/>
            </w:pPr>
            <w:r w:rsidRPr="00EB3C08">
              <w:t>1</w:t>
            </w:r>
          </w:p>
        </w:tc>
      </w:tr>
      <w:tr w:rsidR="0000405E" w:rsidRPr="00EB3C08" w14:paraId="571C6BA5" w14:textId="77777777" w:rsidTr="00986FDF">
        <w:tc>
          <w:tcPr>
            <w:tcW w:w="1280" w:type="pct"/>
            <w:tcBorders>
              <w:top w:val="single" w:sz="4" w:space="0" w:color="F2F2F2" w:themeColor="background1" w:themeShade="F2"/>
              <w:bottom w:val="single" w:sz="4" w:space="0" w:color="0E406A" w:themeColor="accent1"/>
            </w:tcBorders>
          </w:tcPr>
          <w:p w14:paraId="571C6BA1" w14:textId="77777777" w:rsidR="0000405E" w:rsidRPr="00EB3C08" w:rsidRDefault="0000405E" w:rsidP="00B45A6D">
            <w:pPr>
              <w:pStyle w:val="TableTextLeft-Arial"/>
            </w:pPr>
            <w:r w:rsidRPr="00EB3C08">
              <w:t>SEB2</w:t>
            </w:r>
          </w:p>
        </w:tc>
        <w:tc>
          <w:tcPr>
            <w:tcW w:w="930" w:type="pct"/>
            <w:tcBorders>
              <w:top w:val="single" w:sz="4" w:space="0" w:color="F2F2F2" w:themeColor="background1" w:themeShade="F2"/>
              <w:bottom w:val="single" w:sz="4" w:space="0" w:color="0E406A" w:themeColor="accent1"/>
            </w:tcBorders>
          </w:tcPr>
          <w:p w14:paraId="571C6BA2" w14:textId="77777777"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0E406A" w:themeColor="accent1"/>
            </w:tcBorders>
          </w:tcPr>
          <w:p w14:paraId="571C6BA3" w14:textId="77777777" w:rsidR="0000405E" w:rsidRPr="00EB3C08" w:rsidRDefault="0000405E" w:rsidP="00286051">
            <w:pPr>
              <w:pStyle w:val="TableTextLeft-Arial"/>
              <w:jc w:val="center"/>
            </w:pPr>
            <w:r w:rsidRPr="00EB3C08">
              <w:t>1</w:t>
            </w:r>
          </w:p>
        </w:tc>
        <w:tc>
          <w:tcPr>
            <w:tcW w:w="930" w:type="pct"/>
            <w:tcBorders>
              <w:top w:val="single" w:sz="4" w:space="0" w:color="F2F2F2" w:themeColor="background1" w:themeShade="F2"/>
              <w:bottom w:val="single" w:sz="4" w:space="0" w:color="0E406A" w:themeColor="accent1"/>
            </w:tcBorders>
          </w:tcPr>
          <w:p w14:paraId="465C3850" w14:textId="150E4D39" w:rsidR="0000405E" w:rsidRPr="00EB3C08" w:rsidRDefault="0000405E" w:rsidP="00286051">
            <w:pPr>
              <w:pStyle w:val="TableTextLeft-Arial"/>
              <w:jc w:val="center"/>
            </w:pPr>
          </w:p>
        </w:tc>
        <w:tc>
          <w:tcPr>
            <w:tcW w:w="930" w:type="pct"/>
            <w:tcBorders>
              <w:top w:val="single" w:sz="4" w:space="0" w:color="F2F2F2" w:themeColor="background1" w:themeShade="F2"/>
              <w:bottom w:val="single" w:sz="4" w:space="0" w:color="0E406A" w:themeColor="accent1"/>
            </w:tcBorders>
          </w:tcPr>
          <w:p w14:paraId="571C6BA4" w14:textId="7060A30E" w:rsidR="0000405E" w:rsidRPr="00EB3C08" w:rsidRDefault="0000405E" w:rsidP="00286051">
            <w:pPr>
              <w:pStyle w:val="TableTextLeft-Arial"/>
              <w:jc w:val="center"/>
            </w:pPr>
            <w:r w:rsidRPr="00EB3C08">
              <w:t>1</w:t>
            </w:r>
          </w:p>
        </w:tc>
      </w:tr>
      <w:tr w:rsidR="0000405E" w:rsidRPr="00210034" w14:paraId="571C6BAA" w14:textId="77777777" w:rsidTr="00986FDF">
        <w:tc>
          <w:tcPr>
            <w:tcW w:w="1280" w:type="pct"/>
            <w:tcBorders>
              <w:top w:val="single" w:sz="4" w:space="0" w:color="0E406A" w:themeColor="accent1"/>
              <w:bottom w:val="single" w:sz="4" w:space="0" w:color="0E406A" w:themeColor="accent1"/>
            </w:tcBorders>
            <w:shd w:val="clear" w:color="auto" w:fill="F2F2F2" w:themeFill="background1" w:themeFillShade="F2"/>
          </w:tcPr>
          <w:p w14:paraId="571C6BA6" w14:textId="77777777" w:rsidR="0000405E" w:rsidRPr="00EB3C08" w:rsidRDefault="0000405E" w:rsidP="00286051">
            <w:pPr>
              <w:pStyle w:val="TableColumnHeadingLeft"/>
            </w:pPr>
            <w:r w:rsidRPr="00EB3C08">
              <w:t>Total</w:t>
            </w:r>
          </w:p>
        </w:tc>
        <w:tc>
          <w:tcPr>
            <w:tcW w:w="930" w:type="pct"/>
            <w:tcBorders>
              <w:top w:val="single" w:sz="4" w:space="0" w:color="0E406A" w:themeColor="accent1"/>
              <w:bottom w:val="single" w:sz="4" w:space="0" w:color="0E406A" w:themeColor="accent1"/>
            </w:tcBorders>
            <w:shd w:val="clear" w:color="auto" w:fill="F2F2F2" w:themeFill="background1" w:themeFillShade="F2"/>
          </w:tcPr>
          <w:p w14:paraId="571C6BA7" w14:textId="7E78BF7F" w:rsidR="0000405E" w:rsidRPr="00EB3C08" w:rsidRDefault="0000405E" w:rsidP="00286051">
            <w:pPr>
              <w:pStyle w:val="TableColumnHeadingCentred"/>
            </w:pPr>
            <w:r w:rsidRPr="00EB3C08">
              <w:t>3</w:t>
            </w:r>
          </w:p>
        </w:tc>
        <w:tc>
          <w:tcPr>
            <w:tcW w:w="930" w:type="pct"/>
            <w:tcBorders>
              <w:top w:val="single" w:sz="4" w:space="0" w:color="0E406A" w:themeColor="accent1"/>
              <w:bottom w:val="single" w:sz="4" w:space="0" w:color="0E406A" w:themeColor="accent1"/>
            </w:tcBorders>
            <w:shd w:val="clear" w:color="auto" w:fill="F2F2F2" w:themeFill="background1" w:themeFillShade="F2"/>
          </w:tcPr>
          <w:p w14:paraId="571C6BA8" w14:textId="4FA878D3" w:rsidR="0000405E" w:rsidRPr="00EB3C08" w:rsidRDefault="0000405E" w:rsidP="00286051">
            <w:pPr>
              <w:pStyle w:val="TableColumnHeadingCentred"/>
            </w:pPr>
            <w:r w:rsidRPr="00EB3C08">
              <w:t>4</w:t>
            </w:r>
          </w:p>
        </w:tc>
        <w:tc>
          <w:tcPr>
            <w:tcW w:w="930" w:type="pct"/>
            <w:tcBorders>
              <w:top w:val="single" w:sz="4" w:space="0" w:color="0E406A" w:themeColor="accent1"/>
              <w:bottom w:val="single" w:sz="4" w:space="0" w:color="0E406A" w:themeColor="accent1"/>
            </w:tcBorders>
            <w:shd w:val="clear" w:color="auto" w:fill="F2F2F2" w:themeFill="background1" w:themeFillShade="F2"/>
          </w:tcPr>
          <w:p w14:paraId="3CCABBD6" w14:textId="23BF9C2B" w:rsidR="0000405E" w:rsidRPr="00EB3C08" w:rsidRDefault="0000405E" w:rsidP="00286051">
            <w:pPr>
              <w:pStyle w:val="TableColumnHeadingCentred"/>
            </w:pPr>
            <w:r w:rsidRPr="00EB3C08">
              <w:t>1</w:t>
            </w:r>
          </w:p>
        </w:tc>
        <w:tc>
          <w:tcPr>
            <w:tcW w:w="930" w:type="pct"/>
            <w:tcBorders>
              <w:top w:val="single" w:sz="4" w:space="0" w:color="0E406A" w:themeColor="accent1"/>
              <w:bottom w:val="single" w:sz="4" w:space="0" w:color="0E406A" w:themeColor="accent1"/>
            </w:tcBorders>
            <w:shd w:val="clear" w:color="auto" w:fill="F2F2F2" w:themeFill="background1" w:themeFillShade="F2"/>
          </w:tcPr>
          <w:p w14:paraId="571C6BA9" w14:textId="42E51630" w:rsidR="0000405E" w:rsidRPr="00210034" w:rsidRDefault="0000405E" w:rsidP="00286051">
            <w:pPr>
              <w:pStyle w:val="TableColumnHeadingCentred"/>
            </w:pPr>
            <w:r w:rsidRPr="00EB3C08">
              <w:t>8</w:t>
            </w:r>
          </w:p>
        </w:tc>
      </w:tr>
    </w:tbl>
    <w:p w14:paraId="571C6BAB" w14:textId="221159E4" w:rsidR="006555DE" w:rsidRPr="0000405E" w:rsidRDefault="00BC01D7" w:rsidP="00286051">
      <w:pPr>
        <w:pStyle w:val="ChartorTableNote"/>
      </w:pPr>
      <w:r>
        <w:t>*</w:t>
      </w:r>
      <w:r w:rsidR="00E97B93">
        <w:t>Both o</w:t>
      </w:r>
      <w:r>
        <w:t>n long term leave</w:t>
      </w:r>
      <w:r>
        <w:br/>
      </w:r>
      <w:r w:rsidR="00300003" w:rsidRPr="0000405E">
        <w:t xml:space="preserve">Note: </w:t>
      </w:r>
      <w:r w:rsidR="0095050F">
        <w:tab/>
      </w:r>
      <w:r w:rsidR="00300003" w:rsidRPr="0000405E">
        <w:t xml:space="preserve">Acronyms in the table can be found in </w:t>
      </w:r>
      <w:r w:rsidR="00CC73CE" w:rsidRPr="0000405E">
        <w:t>Appendix </w:t>
      </w:r>
      <w:r w:rsidR="00300003" w:rsidRPr="0000405E">
        <w:t>4.</w:t>
      </w:r>
    </w:p>
    <w:p w14:paraId="571C6BAD" w14:textId="77777777" w:rsidR="006555DE" w:rsidRPr="00DA003E" w:rsidRDefault="006555DE" w:rsidP="00286051">
      <w:pPr>
        <w:pStyle w:val="Heading3"/>
      </w:pPr>
      <w:bookmarkStart w:id="352" w:name="_Toc204589500"/>
      <w:r w:rsidRPr="00DA003E">
        <w:t>Secondments</w:t>
      </w:r>
      <w:bookmarkEnd w:id="352"/>
      <w:r w:rsidR="00D04E8C" w:rsidRPr="00DA003E">
        <w:fldChar w:fldCharType="begin"/>
      </w:r>
      <w:r w:rsidRPr="00DA003E">
        <w:instrText>xe "Secondments"</w:instrText>
      </w:r>
      <w:r w:rsidR="00D04E8C" w:rsidRPr="00DA003E">
        <w:fldChar w:fldCharType="end"/>
      </w:r>
    </w:p>
    <w:p w14:paraId="571C6BAE" w14:textId="4D02BF79" w:rsidR="00F06446" w:rsidRPr="00603084" w:rsidRDefault="006555DE">
      <w:r w:rsidRPr="00A31970">
        <w:t xml:space="preserve">The small number of permanent staff on the </w:t>
      </w:r>
      <w:r w:rsidR="007F478A" w:rsidRPr="00A31970">
        <w:t>e</w:t>
      </w:r>
      <w:r w:rsidRPr="00A31970">
        <w:t>xecutive is supplemented by secondees from law firms</w:t>
      </w:r>
      <w:r w:rsidR="00E201A0">
        <w:t>,</w:t>
      </w:r>
      <w:r w:rsidRPr="00A31970">
        <w:t xml:space="preserve"> other professional firms</w:t>
      </w:r>
      <w:r w:rsidR="002C01B0">
        <w:t xml:space="preserve"> or </w:t>
      </w:r>
      <w:r w:rsidR="00826C19">
        <w:t>ASIC</w:t>
      </w:r>
      <w:r w:rsidR="00826C19" w:rsidRPr="00AB50EA">
        <w:t xml:space="preserve">. </w:t>
      </w:r>
      <w:r w:rsidR="00BB25BC" w:rsidRPr="00AB50EA">
        <w:t>The Panel executive organises functions and meetings with former staff and secondees, in part for succession planning purposes.</w:t>
      </w:r>
    </w:p>
    <w:p w14:paraId="571C6BAF" w14:textId="77777777" w:rsidR="006555DE" w:rsidRPr="003914E7" w:rsidRDefault="006555DE" w:rsidP="00286051">
      <w:pPr>
        <w:pStyle w:val="Heading3"/>
      </w:pPr>
      <w:bookmarkStart w:id="353" w:name="_Toc204589502"/>
      <w:r w:rsidRPr="003914E7">
        <w:t>Staff development</w:t>
      </w:r>
      <w:bookmarkEnd w:id="353"/>
      <w:r w:rsidR="00D04E8C" w:rsidRPr="003914E7">
        <w:fldChar w:fldCharType="begin"/>
      </w:r>
      <w:r w:rsidRPr="003914E7">
        <w:instrText>xe "Staff development"</w:instrText>
      </w:r>
      <w:r w:rsidR="00D04E8C" w:rsidRPr="003914E7">
        <w:fldChar w:fldCharType="end"/>
      </w:r>
    </w:p>
    <w:p w14:paraId="571C6BB0" w14:textId="1D2C3BEB" w:rsidR="006555DE" w:rsidRPr="00603084" w:rsidRDefault="006555DE">
      <w:r w:rsidRPr="00603084">
        <w:t xml:space="preserve">The Panel seeks to ensure that its </w:t>
      </w:r>
      <w:r w:rsidR="00BB25BC">
        <w:t xml:space="preserve">staff develop their core </w:t>
      </w:r>
      <w:r w:rsidR="00BB25BC" w:rsidRPr="00AB50EA">
        <w:t>skills</w:t>
      </w:r>
      <w:r w:rsidRPr="00AB50EA">
        <w:t>.</w:t>
      </w:r>
      <w:r w:rsidR="00BB25BC" w:rsidRPr="00AB50EA">
        <w:t xml:space="preserve"> Legal staff are encouraged to attend legal and commercial training and conferences. Non</w:t>
      </w:r>
      <w:r w:rsidR="008941F8">
        <w:noBreakHyphen/>
      </w:r>
      <w:r w:rsidR="00BB25BC" w:rsidRPr="00AB50EA">
        <w:t>legal staff are encouraged to attend training, including in relation to management and administration.</w:t>
      </w:r>
    </w:p>
    <w:p w14:paraId="571C6BB1" w14:textId="77777777" w:rsidR="006555DE" w:rsidRPr="003914E7" w:rsidRDefault="00614E20" w:rsidP="00286051">
      <w:pPr>
        <w:pStyle w:val="Heading3"/>
      </w:pPr>
      <w:bookmarkStart w:id="354" w:name="_Toc204589503"/>
      <w:r>
        <w:t xml:space="preserve">Executive </w:t>
      </w:r>
      <w:r w:rsidR="005B31CD">
        <w:t>r</w:t>
      </w:r>
      <w:r w:rsidR="006555DE" w:rsidRPr="003914E7">
        <w:t>emuneration</w:t>
      </w:r>
      <w:bookmarkEnd w:id="354"/>
      <w:r w:rsidR="00734F4B">
        <w:t xml:space="preserve"> </w:t>
      </w:r>
      <w:r w:rsidR="00734F4B" w:rsidRPr="003914E7">
        <w:fldChar w:fldCharType="begin"/>
      </w:r>
      <w:r w:rsidR="00734F4B" w:rsidRPr="003914E7">
        <w:instrText>xe "</w:instrText>
      </w:r>
      <w:r w:rsidR="00734F4B">
        <w:instrText>Remuneration</w:instrText>
      </w:r>
      <w:r w:rsidR="00734F4B" w:rsidRPr="003914E7">
        <w:instrText>"</w:instrText>
      </w:r>
      <w:r w:rsidR="00734F4B" w:rsidRPr="003914E7">
        <w:fldChar w:fldCharType="end"/>
      </w:r>
    </w:p>
    <w:p w14:paraId="571C6BB2" w14:textId="4D0D10E3" w:rsidR="00EF4027" w:rsidRDefault="00EF4027" w:rsidP="00EF4027">
      <w:r>
        <w:t xml:space="preserve">As Panel executive staff are Treasury employees, information about executive remuneration can be found in </w:t>
      </w:r>
      <w:r w:rsidRPr="00603084">
        <w:t>Treasury</w:t>
      </w:r>
      <w:r w:rsidR="008941F8">
        <w:t>’</w:t>
      </w:r>
      <w:r w:rsidRPr="00603084">
        <w:t xml:space="preserve">s Annual </w:t>
      </w:r>
      <w:r w:rsidRPr="00025759">
        <w:t>Report (</w:t>
      </w:r>
      <w:r w:rsidR="00CC73CE" w:rsidRPr="00025759">
        <w:t>Part </w:t>
      </w:r>
      <w:r w:rsidRPr="00025759">
        <w:t xml:space="preserve">3: Management </w:t>
      </w:r>
      <w:r w:rsidR="0098757C" w:rsidRPr="00025759">
        <w:t xml:space="preserve">and </w:t>
      </w:r>
      <w:r w:rsidRPr="00025759">
        <w:t>Accountability).</w:t>
      </w:r>
    </w:p>
    <w:p w14:paraId="571C6BB3" w14:textId="77777777" w:rsidR="006555DE" w:rsidRPr="00701B78" w:rsidRDefault="006555DE">
      <w:r w:rsidRPr="00701B78">
        <w:t xml:space="preserve">The Panel did not make any specific </w:t>
      </w:r>
      <w:r w:rsidR="00BA44AE">
        <w:t xml:space="preserve">performance </w:t>
      </w:r>
      <w:r w:rsidRPr="00701B78">
        <w:t>p</w:t>
      </w:r>
      <w:r w:rsidR="00BA44AE">
        <w:t xml:space="preserve">ayments </w:t>
      </w:r>
      <w:r w:rsidRPr="00701B78">
        <w:t>or bonus payments.</w:t>
      </w:r>
    </w:p>
    <w:p w14:paraId="571C6BB4" w14:textId="30A29D14" w:rsidR="006555DE" w:rsidRPr="003914E7" w:rsidRDefault="006555DE" w:rsidP="00286051">
      <w:pPr>
        <w:pStyle w:val="Heading3"/>
      </w:pPr>
      <w:bookmarkStart w:id="355" w:name="_Toc204589504"/>
      <w:r w:rsidRPr="003914E7">
        <w:t>Remuneration for non</w:t>
      </w:r>
      <w:r w:rsidR="008941F8">
        <w:noBreakHyphen/>
      </w:r>
      <w:r w:rsidRPr="003914E7">
        <w:t>SES</w:t>
      </w:r>
      <w:bookmarkEnd w:id="355"/>
    </w:p>
    <w:p w14:paraId="571C6BB5" w14:textId="175EDC6D" w:rsidR="006555DE" w:rsidRPr="00701B78" w:rsidRDefault="006555DE">
      <w:r w:rsidRPr="00F32A5C">
        <w:t xml:space="preserve">The Treasury </w:t>
      </w:r>
      <w:r w:rsidR="00305F07" w:rsidRPr="00F32A5C">
        <w:t>Enterprise A</w:t>
      </w:r>
      <w:r w:rsidRPr="00F32A5C">
        <w:t>greement 20</w:t>
      </w:r>
      <w:r w:rsidR="00EB3C08" w:rsidRPr="00F32A5C">
        <w:t>24</w:t>
      </w:r>
      <w:r w:rsidR="00FF4DB7">
        <w:t>–</w:t>
      </w:r>
      <w:r w:rsidR="00EB3C08" w:rsidRPr="00F32A5C">
        <w:t>27</w:t>
      </w:r>
      <w:r w:rsidR="00EB3C08">
        <w:t xml:space="preserve"> </w:t>
      </w:r>
      <w:r w:rsidRPr="00603084">
        <w:t>determines salary rates for non</w:t>
      </w:r>
      <w:r w:rsidR="008941F8">
        <w:noBreakHyphen/>
      </w:r>
      <w:r w:rsidRPr="00603084">
        <w:t>SES</w:t>
      </w:r>
      <w:r w:rsidR="00C01E1C" w:rsidRPr="00603084">
        <w:t xml:space="preserve"> </w:t>
      </w:r>
      <w:r w:rsidRPr="00603084">
        <w:t>staff</w:t>
      </w:r>
      <w:r w:rsidR="00EB3C08">
        <w:t>.</w:t>
      </w:r>
      <w:r w:rsidR="00F32A5C">
        <w:t xml:space="preserve"> The new agreement commenced on 22 January 2024. </w:t>
      </w:r>
      <w:r w:rsidRPr="00603084">
        <w:t>Details and statistics on non</w:t>
      </w:r>
      <w:r w:rsidR="008941F8">
        <w:noBreakHyphen/>
      </w:r>
      <w:r w:rsidRPr="00603084">
        <w:t xml:space="preserve">SES </w:t>
      </w:r>
      <w:r w:rsidRPr="00603084">
        <w:lastRenderedPageBreak/>
        <w:t>remuneration are included in Treasury</w:t>
      </w:r>
      <w:r w:rsidR="008941F8">
        <w:t>’</w:t>
      </w:r>
      <w:r w:rsidR="00222C5B">
        <w:t>s</w:t>
      </w:r>
      <w:r w:rsidRPr="00603084">
        <w:t xml:space="preserve"> Annual </w:t>
      </w:r>
      <w:r w:rsidRPr="006B7C52">
        <w:t xml:space="preserve">Report </w:t>
      </w:r>
      <w:r w:rsidRPr="00025759">
        <w:t>(</w:t>
      </w:r>
      <w:r w:rsidR="00CC73CE" w:rsidRPr="00025759">
        <w:t>Part </w:t>
      </w:r>
      <w:r w:rsidRPr="00025759">
        <w:t xml:space="preserve">3: Management </w:t>
      </w:r>
      <w:r w:rsidR="0098757C" w:rsidRPr="00025759">
        <w:t xml:space="preserve">and </w:t>
      </w:r>
      <w:r w:rsidRPr="00025759">
        <w:t>Accountability).</w:t>
      </w:r>
    </w:p>
    <w:p w14:paraId="571C6BB6" w14:textId="77777777" w:rsidR="006555DE" w:rsidRPr="004145FD" w:rsidRDefault="006555DE" w:rsidP="00286051">
      <w:pPr>
        <w:pStyle w:val="Heading3"/>
      </w:pPr>
      <w:bookmarkStart w:id="356" w:name="_Toc143338250"/>
      <w:bookmarkStart w:id="357" w:name="_Toc143340315"/>
      <w:bookmarkStart w:id="358" w:name="_Toc143418690"/>
      <w:bookmarkStart w:id="359" w:name="_Toc143420199"/>
      <w:bookmarkStart w:id="360" w:name="_Toc177204273"/>
      <w:bookmarkStart w:id="361" w:name="_Toc204589505"/>
      <w:r w:rsidRPr="003914E7">
        <w:t>Workplace div</w:t>
      </w:r>
      <w:r w:rsidRPr="004145FD">
        <w:t>ersity</w:t>
      </w:r>
      <w:bookmarkEnd w:id="356"/>
      <w:bookmarkEnd w:id="357"/>
      <w:bookmarkEnd w:id="358"/>
      <w:bookmarkEnd w:id="359"/>
      <w:bookmarkEnd w:id="360"/>
      <w:bookmarkEnd w:id="361"/>
      <w:r w:rsidR="00D04E8C" w:rsidRPr="004145FD">
        <w:fldChar w:fldCharType="begin"/>
      </w:r>
      <w:r w:rsidRPr="004145FD">
        <w:instrText>xe "Workplace diversity"</w:instrText>
      </w:r>
      <w:r w:rsidR="00D04E8C" w:rsidRPr="004145FD">
        <w:fldChar w:fldCharType="end"/>
      </w:r>
    </w:p>
    <w:p w14:paraId="571C6BB7" w14:textId="60D10EE2" w:rsidR="006555DE" w:rsidRPr="00DE127E" w:rsidRDefault="000E6495">
      <w:r w:rsidRPr="004145FD">
        <w:t>The Panel values diversity and benefits from Treasury</w:t>
      </w:r>
      <w:r w:rsidR="008941F8">
        <w:t>’</w:t>
      </w:r>
      <w:r w:rsidRPr="004145FD">
        <w:t>s Inclusion and Diversity Strategy</w:t>
      </w:r>
      <w:r w:rsidR="00CC73CE" w:rsidRPr="004145FD">
        <w:t> </w:t>
      </w:r>
      <w:r w:rsidRPr="004145FD">
        <w:t>20</w:t>
      </w:r>
      <w:r w:rsidR="004145FD" w:rsidRPr="004145FD">
        <w:t>23</w:t>
      </w:r>
      <w:r w:rsidR="00FF4DB7">
        <w:t>–</w:t>
      </w:r>
      <w:r w:rsidR="004145FD" w:rsidRPr="004145FD">
        <w:t>28.</w:t>
      </w:r>
      <w:r w:rsidR="00F32A5C">
        <w:t xml:space="preserve"> </w:t>
      </w:r>
      <w:r w:rsidR="006555DE" w:rsidRPr="00603084">
        <w:t xml:space="preserve">Details and statistics on </w:t>
      </w:r>
      <w:r>
        <w:t>workplace diversity are i</w:t>
      </w:r>
      <w:r w:rsidR="006555DE" w:rsidRPr="00A942BA">
        <w:t>ncluded in Treasury</w:t>
      </w:r>
      <w:r w:rsidR="008941F8">
        <w:t>’</w:t>
      </w:r>
      <w:r w:rsidR="00222C5B">
        <w:t>s</w:t>
      </w:r>
      <w:r w:rsidR="006555DE" w:rsidRPr="00A942BA">
        <w:t xml:space="preserve"> Annual </w:t>
      </w:r>
      <w:r w:rsidR="006555DE" w:rsidRPr="00025759">
        <w:t>Report</w:t>
      </w:r>
      <w:r w:rsidR="008C696A" w:rsidRPr="00025759">
        <w:t xml:space="preserve"> </w:t>
      </w:r>
      <w:r w:rsidR="006555DE" w:rsidRPr="00025759">
        <w:t>(</w:t>
      </w:r>
      <w:r w:rsidR="00CC73CE" w:rsidRPr="00025759">
        <w:t>Part </w:t>
      </w:r>
      <w:r w:rsidR="006555DE" w:rsidRPr="00025759">
        <w:t xml:space="preserve">3: Management </w:t>
      </w:r>
      <w:r w:rsidR="0098757C" w:rsidRPr="00025759">
        <w:t xml:space="preserve">and </w:t>
      </w:r>
      <w:r w:rsidR="006555DE" w:rsidRPr="00025759">
        <w:t>Accountability).</w:t>
      </w:r>
    </w:p>
    <w:p w14:paraId="571C6BB8" w14:textId="77777777" w:rsidR="006555DE" w:rsidRPr="003914E7" w:rsidRDefault="006555DE" w:rsidP="00286051">
      <w:pPr>
        <w:pStyle w:val="Heading3"/>
      </w:pPr>
      <w:bookmarkStart w:id="362" w:name="_Toc143338251"/>
      <w:bookmarkStart w:id="363" w:name="_Toc143340316"/>
      <w:bookmarkStart w:id="364" w:name="_Toc143418691"/>
      <w:bookmarkStart w:id="365" w:name="_Toc143420200"/>
      <w:bookmarkStart w:id="366" w:name="_Toc177204274"/>
      <w:bookmarkStart w:id="367" w:name="_Toc204589506"/>
      <w:r w:rsidRPr="003914E7">
        <w:t>Industrial democracy</w:t>
      </w:r>
      <w:bookmarkEnd w:id="362"/>
      <w:bookmarkEnd w:id="363"/>
      <w:bookmarkEnd w:id="364"/>
      <w:bookmarkEnd w:id="365"/>
      <w:bookmarkEnd w:id="366"/>
      <w:bookmarkEnd w:id="367"/>
      <w:r w:rsidR="00D04E8C" w:rsidRPr="003914E7">
        <w:fldChar w:fldCharType="begin"/>
      </w:r>
      <w:r w:rsidRPr="003914E7">
        <w:instrText>xe "Industrial democracy"</w:instrText>
      </w:r>
      <w:r w:rsidR="00D04E8C" w:rsidRPr="003914E7">
        <w:fldChar w:fldCharType="end"/>
      </w:r>
    </w:p>
    <w:p w14:paraId="571C6BB9" w14:textId="4C64DF4A" w:rsidR="006555DE" w:rsidRPr="00603084" w:rsidRDefault="00C57689">
      <w:r>
        <w:t xml:space="preserve">Panel staff utilise </w:t>
      </w:r>
      <w:r w:rsidR="006555DE" w:rsidRPr="00974801">
        <w:t>Treasury</w:t>
      </w:r>
      <w:r w:rsidR="008941F8">
        <w:t>’</w:t>
      </w:r>
      <w:r w:rsidR="006555DE" w:rsidRPr="00974801">
        <w:t xml:space="preserve">s Performance </w:t>
      </w:r>
      <w:r>
        <w:t xml:space="preserve">Development </w:t>
      </w:r>
      <w:r w:rsidR="006555DE" w:rsidRPr="00974801">
        <w:t xml:space="preserve">System and </w:t>
      </w:r>
      <w:r>
        <w:t>Integrated Leadership</w:t>
      </w:r>
      <w:r w:rsidR="00F873C1">
        <w:t> </w:t>
      </w:r>
      <w:r>
        <w:t>System</w:t>
      </w:r>
      <w:r w:rsidR="006B6647">
        <w:t xml:space="preserve">. </w:t>
      </w:r>
      <w:r w:rsidR="006A2003" w:rsidRPr="00603084">
        <w:t>Treasury</w:t>
      </w:r>
      <w:r w:rsidR="008941F8">
        <w:t>’</w:t>
      </w:r>
      <w:r w:rsidR="006A2003" w:rsidRPr="00603084">
        <w:t>s Workplace Relations Committee deals with industrial democracy</w:t>
      </w:r>
      <w:r w:rsidR="00F873C1">
        <w:t> </w:t>
      </w:r>
      <w:r w:rsidR="006A2003" w:rsidRPr="00603084">
        <w:t>issues</w:t>
      </w:r>
      <w:r w:rsidR="006555DE" w:rsidRPr="00603084">
        <w:t>.</w:t>
      </w:r>
    </w:p>
    <w:p w14:paraId="571C6BBA" w14:textId="77777777" w:rsidR="006555DE" w:rsidRPr="003914E7" w:rsidRDefault="00734F4B" w:rsidP="00286051">
      <w:pPr>
        <w:pStyle w:val="Heading3"/>
      </w:pPr>
      <w:bookmarkStart w:id="368" w:name="_Toc143338252"/>
      <w:bookmarkStart w:id="369" w:name="_Toc143340317"/>
      <w:bookmarkStart w:id="370" w:name="_Toc143418692"/>
      <w:bookmarkStart w:id="371" w:name="_Toc143420201"/>
      <w:bookmarkStart w:id="372" w:name="_Toc177204275"/>
      <w:bookmarkStart w:id="373" w:name="_Toc204589507"/>
      <w:r>
        <w:t>Work</w:t>
      </w:r>
      <w:r w:rsidR="00AF77C5" w:rsidRPr="003914E7">
        <w:t xml:space="preserve"> </w:t>
      </w:r>
      <w:r w:rsidR="006555DE" w:rsidRPr="003914E7">
        <w:t>H</w:t>
      </w:r>
      <w:r w:rsidR="00AF77C5" w:rsidRPr="003914E7">
        <w:t xml:space="preserve">ealth and </w:t>
      </w:r>
      <w:r w:rsidR="006555DE" w:rsidRPr="003914E7">
        <w:t>S</w:t>
      </w:r>
      <w:bookmarkEnd w:id="368"/>
      <w:bookmarkEnd w:id="369"/>
      <w:bookmarkEnd w:id="370"/>
      <w:bookmarkEnd w:id="371"/>
      <w:bookmarkEnd w:id="372"/>
      <w:bookmarkEnd w:id="373"/>
      <w:r>
        <w:t>afety</w:t>
      </w:r>
      <w:r w:rsidR="00D04E8C" w:rsidRPr="003914E7">
        <w:fldChar w:fldCharType="begin"/>
      </w:r>
      <w:r w:rsidR="006555DE" w:rsidRPr="003914E7">
        <w:instrText>xe "</w:instrText>
      </w:r>
      <w:r>
        <w:instrText>Work Health and Safety</w:instrText>
      </w:r>
      <w:r w:rsidR="006555DE" w:rsidRPr="003914E7">
        <w:instrText>"</w:instrText>
      </w:r>
      <w:r w:rsidR="00D04E8C" w:rsidRPr="003914E7">
        <w:fldChar w:fldCharType="end"/>
      </w:r>
    </w:p>
    <w:p w14:paraId="571C6BBB" w14:textId="58C06A4E" w:rsidR="006555DE" w:rsidRPr="00603084" w:rsidRDefault="006555DE">
      <w:r w:rsidRPr="00603084">
        <w:t>Panel staff have the benefit of Treasury</w:t>
      </w:r>
      <w:r w:rsidR="00D04E8C" w:rsidRPr="00603084">
        <w:fldChar w:fldCharType="begin"/>
      </w:r>
      <w:r w:rsidRPr="00603084">
        <w:instrText>xe "Treasury"</w:instrText>
      </w:r>
      <w:r w:rsidR="00D04E8C" w:rsidRPr="00603084">
        <w:fldChar w:fldCharType="end"/>
      </w:r>
      <w:r w:rsidR="008941F8">
        <w:t>‘</w:t>
      </w:r>
      <w:r w:rsidRPr="00603084">
        <w:t xml:space="preserve">s </w:t>
      </w:r>
      <w:r w:rsidR="000E6495">
        <w:t>Work Health and Safety Management System</w:t>
      </w:r>
      <w:r w:rsidRPr="00603084">
        <w:t xml:space="preserve">. Services provided to the Panel for the year included flu injections for the Panel </w:t>
      </w:r>
      <w:r w:rsidR="007F478A" w:rsidRPr="00603084">
        <w:t>e</w:t>
      </w:r>
      <w:r w:rsidRPr="00603084">
        <w:t>xecutive</w:t>
      </w:r>
      <w:r w:rsidRPr="00807D14">
        <w:t>. There were no reported accidents or dangerous occurrences during the year.</w:t>
      </w:r>
    </w:p>
    <w:p w14:paraId="571C6BBC" w14:textId="6B7B6442" w:rsidR="006555DE" w:rsidRPr="00603084" w:rsidRDefault="006555DE">
      <w:r w:rsidRPr="00603084">
        <w:t xml:space="preserve">The Panel </w:t>
      </w:r>
      <w:r w:rsidR="00C57689">
        <w:t xml:space="preserve">utilises </w:t>
      </w:r>
      <w:r w:rsidRPr="00603084">
        <w:t>Treasury</w:t>
      </w:r>
      <w:r w:rsidR="008941F8">
        <w:t>’</w:t>
      </w:r>
      <w:r w:rsidRPr="00603084">
        <w:t>s Employee Assistance Program, an external and confidential counselling service for Treasury staff and their families.</w:t>
      </w:r>
    </w:p>
    <w:p w14:paraId="571C6BBD" w14:textId="77777777" w:rsidR="006555DE" w:rsidRPr="003914E7" w:rsidRDefault="0083057A" w:rsidP="00286051">
      <w:pPr>
        <w:pStyle w:val="Heading3"/>
      </w:pPr>
      <w:bookmarkStart w:id="374" w:name="_Toc177204276"/>
      <w:bookmarkStart w:id="375" w:name="_Toc204589508"/>
      <w:bookmarkStart w:id="376" w:name="_Toc143338253"/>
      <w:bookmarkStart w:id="377" w:name="_Toc143340318"/>
      <w:bookmarkStart w:id="378" w:name="_Toc143418693"/>
      <w:bookmarkStart w:id="379" w:name="_Toc143420202"/>
      <w:r w:rsidRPr="003914E7">
        <w:t>Commonwealth disability s</w:t>
      </w:r>
      <w:r w:rsidR="006555DE" w:rsidRPr="003914E7">
        <w:t>trategy</w:t>
      </w:r>
      <w:bookmarkEnd w:id="374"/>
      <w:bookmarkEnd w:id="375"/>
      <w:r w:rsidR="00734F4B" w:rsidRPr="003914E7">
        <w:fldChar w:fldCharType="begin"/>
      </w:r>
      <w:r w:rsidR="00734F4B" w:rsidRPr="003914E7">
        <w:instrText>xe "</w:instrText>
      </w:r>
      <w:r w:rsidR="00734F4B">
        <w:instrText>Disability</w:instrText>
      </w:r>
      <w:r w:rsidR="00734F4B" w:rsidRPr="003914E7">
        <w:instrText>"</w:instrText>
      </w:r>
      <w:r w:rsidR="00734F4B" w:rsidRPr="003914E7">
        <w:fldChar w:fldCharType="end"/>
      </w:r>
    </w:p>
    <w:p w14:paraId="571C6BBE" w14:textId="791D533C" w:rsidR="00F46EC0" w:rsidRPr="00F873C1" w:rsidRDefault="00B07CD9" w:rsidP="008715D6">
      <w:pPr>
        <w:pStyle w:val="Heading4"/>
      </w:pPr>
      <w:r w:rsidRPr="00F873C1">
        <w:t>D</w:t>
      </w:r>
      <w:r w:rsidR="00F46EC0" w:rsidRPr="00F873C1">
        <w:t>isability reporting</w:t>
      </w:r>
      <w:r w:rsidRPr="00F873C1">
        <w:t xml:space="preserve"> mechanism</w:t>
      </w:r>
    </w:p>
    <w:p w14:paraId="66A7F913" w14:textId="056A28F3" w:rsidR="00057C6D" w:rsidRPr="00057C6D" w:rsidRDefault="00057C6D" w:rsidP="00575500">
      <w:bookmarkStart w:id="380" w:name="_Toc204589510"/>
      <w:bookmarkEnd w:id="376"/>
      <w:bookmarkEnd w:id="377"/>
      <w:bookmarkEnd w:id="378"/>
      <w:bookmarkEnd w:id="379"/>
      <w:r w:rsidRPr="00A32306">
        <w:t>Australia</w:t>
      </w:r>
      <w:r w:rsidR="008941F8">
        <w:t>’</w:t>
      </w:r>
      <w:r w:rsidRPr="00A32306">
        <w:t>s Disability Strategy 2021</w:t>
      </w:r>
      <w:r w:rsidR="00550FAF">
        <w:t>–</w:t>
      </w:r>
      <w:r w:rsidRPr="00A32306">
        <w:t>2031 </w:t>
      </w:r>
      <w:r w:rsidRPr="00057C6D">
        <w:t>is the overarching framework for inclusive policies, programs and infrastructure that will support people with disability to participate in all areas of Australian life. The Strategy sets out where practical changes will be made to improve the lives of people with disability in Australia. It acts to ensure the principles underpinning the United Nations Convention on the Rights of Persons with Disabilities are incorporated into Australia</w:t>
      </w:r>
      <w:r w:rsidR="008941F8">
        <w:t>’</w:t>
      </w:r>
      <w:r w:rsidRPr="00057C6D">
        <w:t>s policies and programs that affect people with disability, their families and carers. All levels of government have committed to deliver more comprehensive and visible reporting under the Strategy. A range of reports on progress of the Strategy</w:t>
      </w:r>
      <w:r w:rsidR="008941F8">
        <w:t>’</w:t>
      </w:r>
      <w:r w:rsidRPr="00057C6D">
        <w:t>s actions and outcome areas will be published and available at </w:t>
      </w:r>
      <w:hyperlink r:id="rId55" w:history="1">
        <w:r w:rsidR="00A32306" w:rsidRPr="00212ABD">
          <w:rPr>
            <w:rStyle w:val="Hyperlink"/>
          </w:rPr>
          <w:t>disabilitygateway.gov.au/ads</w:t>
        </w:r>
      </w:hyperlink>
    </w:p>
    <w:p w14:paraId="550B3ED1" w14:textId="5FE8B5EA" w:rsidR="00057C6D" w:rsidRPr="00057C6D" w:rsidRDefault="00057C6D" w:rsidP="00575500">
      <w:r w:rsidRPr="00057C6D">
        <w:t>Disability reporting is included the Australian Public Service Commission</w:t>
      </w:r>
      <w:r w:rsidR="008941F8">
        <w:t>’</w:t>
      </w:r>
      <w:r w:rsidRPr="00057C6D">
        <w:t>s State of the Service reports and the APS Statistical Bulletin. These reports are available at </w:t>
      </w:r>
      <w:hyperlink r:id="rId56" w:tgtFrame="_blank" w:history="1">
        <w:r w:rsidRPr="00A32306">
          <w:rPr>
            <w:rStyle w:val="Hyperlink"/>
          </w:rPr>
          <w:t>apsc.gov.au</w:t>
        </w:r>
      </w:hyperlink>
      <w:r w:rsidR="00A32306" w:rsidRPr="00057C6D">
        <w:t>.</w:t>
      </w:r>
    </w:p>
    <w:bookmarkEnd w:id="380"/>
    <w:p w14:paraId="0FB57364" w14:textId="77777777" w:rsidR="00A32306" w:rsidRPr="008715D6" w:rsidRDefault="00A32306" w:rsidP="008715D6">
      <w:r w:rsidRPr="008715D6">
        <w:br w:type="page"/>
      </w:r>
    </w:p>
    <w:p w14:paraId="571C6BC1" w14:textId="2A5165A7" w:rsidR="006555DE" w:rsidRPr="00325D7A" w:rsidRDefault="00ED7998" w:rsidP="00286051">
      <w:pPr>
        <w:pStyle w:val="Heading2"/>
      </w:pPr>
      <w:bookmarkStart w:id="381" w:name="_Toc174632409"/>
      <w:bookmarkEnd w:id="340"/>
      <w:r>
        <w:lastRenderedPageBreak/>
        <w:t>Purchasing</w:t>
      </w:r>
      <w:bookmarkEnd w:id="381"/>
      <w:r w:rsidR="00746995" w:rsidRPr="00325D7A">
        <w:fldChar w:fldCharType="begin"/>
      </w:r>
      <w:r w:rsidR="00746995" w:rsidRPr="00325D7A">
        <w:instrText>xe "</w:instrText>
      </w:r>
      <w:r>
        <w:instrText>Purchasing</w:instrText>
      </w:r>
      <w:r w:rsidR="00746995" w:rsidRPr="00325D7A">
        <w:instrText>"</w:instrText>
      </w:r>
      <w:r w:rsidR="00746995" w:rsidRPr="00325D7A">
        <w:fldChar w:fldCharType="end"/>
      </w:r>
    </w:p>
    <w:p w14:paraId="571C6BC2" w14:textId="2F39AC22" w:rsidR="006555DE" w:rsidRPr="00C40F34" w:rsidRDefault="00BC730E" w:rsidP="00B7129E">
      <w:r w:rsidRPr="00C40F34">
        <w:t>T</w:t>
      </w:r>
      <w:r w:rsidR="00CD63F9" w:rsidRPr="00C40F34">
        <w:t>he Panel</w:t>
      </w:r>
      <w:r w:rsidRPr="00C40F34">
        <w:t xml:space="preserve"> follows Treasury</w:t>
      </w:r>
      <w:r w:rsidR="008941F8">
        <w:t>’</w:t>
      </w:r>
      <w:r w:rsidRPr="00C40F34">
        <w:t xml:space="preserve">s procurement </w:t>
      </w:r>
      <w:r w:rsidR="00E76DDB" w:rsidRPr="00C40F34">
        <w:t xml:space="preserve">framework </w:t>
      </w:r>
      <w:r w:rsidRPr="00C40F34">
        <w:t>to ensure that it undertakes competitive and non</w:t>
      </w:r>
      <w:r w:rsidR="008941F8">
        <w:noBreakHyphen/>
      </w:r>
      <w:r w:rsidRPr="00C40F34">
        <w:t xml:space="preserve">discriminatory </w:t>
      </w:r>
      <w:r w:rsidR="005E78F9" w:rsidRPr="00C40F34">
        <w:t xml:space="preserve">tendering and quoting </w:t>
      </w:r>
      <w:r w:rsidRPr="00C40F34">
        <w:t xml:space="preserve">processes which </w:t>
      </w:r>
      <w:r w:rsidR="005E78F9" w:rsidRPr="00C40F34">
        <w:t xml:space="preserve">are designed to result in </w:t>
      </w:r>
      <w:r w:rsidRPr="00C40F34">
        <w:t>value for money</w:t>
      </w:r>
      <w:r w:rsidR="00000701" w:rsidRPr="00C40F34">
        <w:t>.</w:t>
      </w:r>
    </w:p>
    <w:p w14:paraId="571C6BC3" w14:textId="15F748EB" w:rsidR="00E76DDB" w:rsidRPr="00C40F34" w:rsidRDefault="00E76DDB" w:rsidP="00B7129E">
      <w:r w:rsidRPr="00C40F34">
        <w:t>All proposed procurements valued at $10,000 or more were reviewed by Treasury</w:t>
      </w:r>
      <w:r w:rsidR="008941F8">
        <w:t>’</w:t>
      </w:r>
      <w:r w:rsidRPr="00C40F34">
        <w:t>s Procurement Team.</w:t>
      </w:r>
    </w:p>
    <w:p w14:paraId="571C6BC4" w14:textId="23FED9E4" w:rsidR="00E76DDB" w:rsidRDefault="00E76DDB" w:rsidP="00B7129E">
      <w:r w:rsidRPr="00CF42DC">
        <w:t xml:space="preserve">During </w:t>
      </w:r>
      <w:r w:rsidR="00DA52A2" w:rsidRPr="00CF42DC">
        <w:t>the current period the</w:t>
      </w:r>
      <w:r w:rsidRPr="00CF42DC">
        <w:t xml:space="preserve"> Panel </w:t>
      </w:r>
      <w:r w:rsidR="00331F35" w:rsidRPr="00CF42DC">
        <w:t xml:space="preserve">entered into </w:t>
      </w:r>
      <w:r w:rsidR="00237F95" w:rsidRPr="00CF42DC">
        <w:t>s</w:t>
      </w:r>
      <w:r w:rsidR="00CF42DC" w:rsidRPr="00CF42DC">
        <w:t>even</w:t>
      </w:r>
      <w:r w:rsidR="004537BC" w:rsidRPr="00CF42DC">
        <w:t xml:space="preserve"> </w:t>
      </w:r>
      <w:r w:rsidR="00331F35" w:rsidRPr="00CF42DC">
        <w:t>c</w:t>
      </w:r>
      <w:r w:rsidRPr="00CF42DC">
        <w:t xml:space="preserve">ontracts </w:t>
      </w:r>
      <w:r w:rsidR="00262C1B" w:rsidRPr="00CF42DC">
        <w:t>that each exceeded</w:t>
      </w:r>
      <w:r w:rsidR="00575500" w:rsidRPr="00CF42DC">
        <w:t> </w:t>
      </w:r>
      <w:r w:rsidR="00262C1B" w:rsidRPr="00CF42DC">
        <w:t>$10,000</w:t>
      </w:r>
      <w:r w:rsidR="00D74246" w:rsidRPr="00CF42DC">
        <w:t>.</w:t>
      </w:r>
      <w:r w:rsidR="00262C1B" w:rsidRPr="00CF42DC">
        <w:t xml:space="preserve"> </w:t>
      </w:r>
      <w:r w:rsidR="00D74246" w:rsidRPr="00CF42DC">
        <w:t>T</w:t>
      </w:r>
      <w:r w:rsidR="00615D65" w:rsidRPr="00CF42DC">
        <w:t xml:space="preserve">hese </w:t>
      </w:r>
      <w:r w:rsidRPr="00CF42DC">
        <w:t>related to</w:t>
      </w:r>
      <w:r w:rsidR="00AF5216" w:rsidRPr="00CF42DC">
        <w:t xml:space="preserve"> t</w:t>
      </w:r>
      <w:r w:rsidR="00BD3C7A" w:rsidRPr="00CF42DC">
        <w:t xml:space="preserve">wo </w:t>
      </w:r>
      <w:r w:rsidR="00AF5216" w:rsidRPr="00CF42DC">
        <w:t xml:space="preserve">secondment </w:t>
      </w:r>
      <w:r w:rsidRPr="00CF42DC">
        <w:t>agreement</w:t>
      </w:r>
      <w:r w:rsidR="00AF5216" w:rsidRPr="00CF42DC">
        <w:t>s</w:t>
      </w:r>
      <w:r w:rsidR="009E37E5" w:rsidRPr="00CF42DC">
        <w:t xml:space="preserve">, </w:t>
      </w:r>
      <w:r w:rsidR="00467465" w:rsidRPr="00CF42DC">
        <w:t>t</w:t>
      </w:r>
      <w:r w:rsidR="00262C1B" w:rsidRPr="00CF42DC">
        <w:t>wo contractors</w:t>
      </w:r>
      <w:r w:rsidR="00A4765F" w:rsidRPr="00CF42DC">
        <w:t xml:space="preserve">, </w:t>
      </w:r>
      <w:r w:rsidR="00BD3C7A" w:rsidRPr="00CF42DC">
        <w:t>one</w:t>
      </w:r>
      <w:r w:rsidR="004537BC" w:rsidRPr="00CF42DC">
        <w:t xml:space="preserve"> IT project</w:t>
      </w:r>
      <w:r w:rsidR="00CF42DC" w:rsidRPr="00CF42DC">
        <w:t xml:space="preserve">, </w:t>
      </w:r>
      <w:r w:rsidR="004537BC" w:rsidRPr="00CF42DC">
        <w:t>one online research tool</w:t>
      </w:r>
      <w:r w:rsidR="00CF42DC" w:rsidRPr="00CF42DC">
        <w:t xml:space="preserve"> and one data</w:t>
      </w:r>
      <w:r w:rsidR="00CF42DC">
        <w:t xml:space="preserve"> </w:t>
      </w:r>
      <w:r w:rsidR="00CF42DC" w:rsidRPr="00CF42DC">
        <w:t>room product</w:t>
      </w:r>
      <w:r w:rsidR="004537BC" w:rsidRPr="00CF42DC">
        <w:t>.</w:t>
      </w:r>
    </w:p>
    <w:p w14:paraId="571C6BC5" w14:textId="77777777" w:rsidR="00ED7998" w:rsidRPr="00325D7A" w:rsidRDefault="00ED7998" w:rsidP="00286051">
      <w:pPr>
        <w:pStyle w:val="Heading2"/>
      </w:pPr>
      <w:bookmarkStart w:id="382" w:name="_Toc174632410"/>
      <w:bookmarkStart w:id="383" w:name="_Toc143338254"/>
      <w:bookmarkStart w:id="384" w:name="_Toc143340319"/>
      <w:bookmarkStart w:id="385" w:name="_Toc143418694"/>
      <w:bookmarkStart w:id="386" w:name="_Toc143420203"/>
      <w:bookmarkStart w:id="387" w:name="_Toc177204278"/>
      <w:bookmarkStart w:id="388" w:name="_Toc204589512"/>
      <w:bookmarkStart w:id="389" w:name="_Toc204590158"/>
      <w:bookmarkStart w:id="390" w:name="_Toc204591242"/>
      <w:bookmarkStart w:id="391" w:name="_Toc204591301"/>
      <w:bookmarkStart w:id="392" w:name="_Toc204591413"/>
      <w:bookmarkStart w:id="393" w:name="_Toc207163430"/>
      <w:bookmarkStart w:id="394" w:name="_Toc332277180"/>
      <w:r w:rsidRPr="00325D7A">
        <w:t>Consultants</w:t>
      </w:r>
      <w:bookmarkEnd w:id="382"/>
      <w:r w:rsidRPr="00325D7A">
        <w:fldChar w:fldCharType="begin"/>
      </w:r>
      <w:r w:rsidRPr="00325D7A">
        <w:instrText>xe "Consultants"</w:instrText>
      </w:r>
      <w:r w:rsidRPr="00325D7A">
        <w:fldChar w:fldCharType="end"/>
      </w:r>
    </w:p>
    <w:p w14:paraId="571C6BC6" w14:textId="1EA6CBC2" w:rsidR="00ED7998" w:rsidRPr="00A228EB" w:rsidRDefault="001A54CF" w:rsidP="00ED7998">
      <w:r w:rsidRPr="000B04CD">
        <w:t xml:space="preserve">During </w:t>
      </w:r>
      <w:r w:rsidR="00BD3C7A" w:rsidRPr="000B04CD">
        <w:t>202</w:t>
      </w:r>
      <w:r w:rsidR="000B04CD" w:rsidRPr="000B04CD">
        <w:t>3</w:t>
      </w:r>
      <w:r w:rsidR="00271644" w:rsidRPr="000B04CD">
        <w:t>–</w:t>
      </w:r>
      <w:r w:rsidR="00BD3C7A" w:rsidRPr="000B04CD">
        <w:t>2</w:t>
      </w:r>
      <w:r w:rsidR="000B04CD" w:rsidRPr="000B04CD">
        <w:t>4</w:t>
      </w:r>
      <w:r w:rsidRPr="000B04CD">
        <w:t>,</w:t>
      </w:r>
      <w:r w:rsidR="00114EB8" w:rsidRPr="000B04CD">
        <w:t xml:space="preserve"> the Panel had a fee for service contract with </w:t>
      </w:r>
      <w:r w:rsidRPr="000B04CD">
        <w:t xml:space="preserve">a web design firm to </w:t>
      </w:r>
      <w:r w:rsidR="00A969A3">
        <w:t>enhance</w:t>
      </w:r>
      <w:r w:rsidR="00114EB8" w:rsidRPr="000B04CD">
        <w:t xml:space="preserve"> </w:t>
      </w:r>
      <w:r w:rsidRPr="000B04CD">
        <w:t>the Panel</w:t>
      </w:r>
      <w:r w:rsidR="008941F8">
        <w:t>’</w:t>
      </w:r>
      <w:r w:rsidRPr="000B04CD">
        <w:t>s website</w:t>
      </w:r>
      <w:r w:rsidR="00BD3C7A" w:rsidRPr="000B04CD">
        <w:t>.</w:t>
      </w:r>
    </w:p>
    <w:p w14:paraId="571C6BC7" w14:textId="77777777" w:rsidR="00DB31A2" w:rsidRPr="00325D7A" w:rsidRDefault="00DB31A2" w:rsidP="00286051">
      <w:pPr>
        <w:pStyle w:val="Heading2"/>
      </w:pPr>
      <w:bookmarkStart w:id="395" w:name="_Toc174632411"/>
      <w:r>
        <w:t>Small business</w:t>
      </w:r>
      <w:bookmarkEnd w:id="395"/>
      <w:r w:rsidRPr="00325D7A">
        <w:fldChar w:fldCharType="begin"/>
      </w:r>
      <w:r w:rsidRPr="00325D7A">
        <w:instrText>xe "</w:instrText>
      </w:r>
      <w:r w:rsidR="00734F4B">
        <w:instrText>Small business</w:instrText>
      </w:r>
      <w:r w:rsidRPr="00325D7A">
        <w:instrText>"</w:instrText>
      </w:r>
      <w:r w:rsidRPr="00325D7A">
        <w:fldChar w:fldCharType="end"/>
      </w:r>
    </w:p>
    <w:p w14:paraId="571C6BC8" w14:textId="585BE032" w:rsidR="00DB31A2" w:rsidRDefault="00DB31A2" w:rsidP="00B7129E">
      <w:r>
        <w:t xml:space="preserve">The Panel supports small business participation in the Commonwealth Government procurement market. Small and Medium Enterprises (SME) and Small Enterprise participation statistics are available </w:t>
      </w:r>
      <w:r w:rsidR="00C9220C">
        <w:t>o</w:t>
      </w:r>
      <w:r>
        <w:t>n the Department of Finance</w:t>
      </w:r>
      <w:r w:rsidR="008941F8">
        <w:t>’</w:t>
      </w:r>
      <w:r>
        <w:t>s website</w:t>
      </w:r>
      <w:r w:rsidR="00575500">
        <w:t> </w:t>
      </w:r>
      <w:r w:rsidR="00CD2FE5">
        <w:t>–</w:t>
      </w:r>
      <w:r w:rsidR="00575500">
        <w:t> </w:t>
      </w:r>
      <w:r w:rsidRPr="00DB31A2">
        <w:rPr>
          <w:rStyle w:val="Hyperlink"/>
        </w:rPr>
        <w:t>www.finance.gov.au</w:t>
      </w:r>
      <w:r>
        <w:t>.</w:t>
      </w:r>
    </w:p>
    <w:p w14:paraId="571C6BC9" w14:textId="77777777" w:rsidR="006555DE" w:rsidRPr="00325D7A" w:rsidRDefault="006555DE" w:rsidP="00286051">
      <w:pPr>
        <w:pStyle w:val="Heading2"/>
      </w:pPr>
      <w:bookmarkStart w:id="396" w:name="_Toc174632412"/>
      <w:r w:rsidRPr="00325D7A">
        <w:t>Discretionary grants</w:t>
      </w:r>
      <w:bookmarkEnd w:id="383"/>
      <w:bookmarkEnd w:id="384"/>
      <w:bookmarkEnd w:id="385"/>
      <w:bookmarkEnd w:id="386"/>
      <w:bookmarkEnd w:id="387"/>
      <w:bookmarkEnd w:id="388"/>
      <w:bookmarkEnd w:id="389"/>
      <w:bookmarkEnd w:id="390"/>
      <w:bookmarkEnd w:id="391"/>
      <w:bookmarkEnd w:id="392"/>
      <w:bookmarkEnd w:id="393"/>
      <w:bookmarkEnd w:id="394"/>
      <w:bookmarkEnd w:id="396"/>
      <w:r w:rsidR="00D04E8C" w:rsidRPr="00325D7A">
        <w:fldChar w:fldCharType="begin"/>
      </w:r>
      <w:r w:rsidRPr="00325D7A">
        <w:instrText>xe "Discretionary grants"</w:instrText>
      </w:r>
      <w:r w:rsidR="00D04E8C" w:rsidRPr="00325D7A">
        <w:fldChar w:fldCharType="end"/>
      </w:r>
    </w:p>
    <w:p w14:paraId="571C6BCA" w14:textId="7676E6D2" w:rsidR="00454A32" w:rsidRPr="00454A32" w:rsidRDefault="00480D80" w:rsidP="00B7129E">
      <w:pPr>
        <w:rPr>
          <w:rStyle w:val="Hyperlink"/>
          <w:lang w:eastAsia="en-AU"/>
        </w:rPr>
      </w:pPr>
      <w:r w:rsidRPr="00CF42DC">
        <w:t>The Panel did not make any discretionary grants in 202</w:t>
      </w:r>
      <w:r w:rsidR="00CF42DC">
        <w:t>3</w:t>
      </w:r>
      <w:r w:rsidR="00271644" w:rsidRPr="00CF42DC">
        <w:t>–</w:t>
      </w:r>
      <w:r w:rsidRPr="00CF42DC">
        <w:t>2</w:t>
      </w:r>
      <w:r w:rsidR="00CF42DC">
        <w:t>4</w:t>
      </w:r>
      <w:r w:rsidRPr="00CF42DC">
        <w:t>.</w:t>
      </w:r>
    </w:p>
    <w:p w14:paraId="571C6BCB" w14:textId="77777777" w:rsidR="006555DE" w:rsidRPr="00325D7A" w:rsidRDefault="006555DE" w:rsidP="00286051">
      <w:pPr>
        <w:pStyle w:val="Heading2"/>
      </w:pPr>
      <w:bookmarkStart w:id="397" w:name="_Toc143338255"/>
      <w:bookmarkStart w:id="398" w:name="_Toc143340320"/>
      <w:bookmarkStart w:id="399" w:name="_Toc143418695"/>
      <w:bookmarkStart w:id="400" w:name="_Toc143420204"/>
      <w:bookmarkStart w:id="401" w:name="_Toc177204279"/>
      <w:bookmarkStart w:id="402" w:name="_Toc204589513"/>
      <w:bookmarkStart w:id="403" w:name="_Toc204590159"/>
      <w:bookmarkStart w:id="404" w:name="_Toc204591243"/>
      <w:bookmarkStart w:id="405" w:name="_Toc204591302"/>
      <w:bookmarkStart w:id="406" w:name="_Toc204591414"/>
      <w:bookmarkStart w:id="407" w:name="_Toc207163431"/>
      <w:bookmarkStart w:id="408" w:name="_Toc332277181"/>
      <w:bookmarkStart w:id="409" w:name="_Toc174632413"/>
      <w:r w:rsidRPr="00325D7A">
        <w:t>Advertising and market research</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571C6BCC" w14:textId="50040D84" w:rsidR="006555DE" w:rsidRDefault="00305F07" w:rsidP="00B7129E">
      <w:r w:rsidRPr="00CF42DC">
        <w:t xml:space="preserve">The Panel </w:t>
      </w:r>
      <w:r w:rsidR="008912D1" w:rsidRPr="00CF42DC">
        <w:t>did not undertake any advertising or market research during 202</w:t>
      </w:r>
      <w:r w:rsidR="00CF42DC" w:rsidRPr="00CF42DC">
        <w:t>3</w:t>
      </w:r>
      <w:r w:rsidR="00550FAF" w:rsidRPr="00CF42DC">
        <w:t>–</w:t>
      </w:r>
      <w:r w:rsidR="008912D1" w:rsidRPr="00CF42DC">
        <w:t>2</w:t>
      </w:r>
      <w:r w:rsidR="00CF42DC" w:rsidRPr="00CF42DC">
        <w:t>4</w:t>
      </w:r>
      <w:r w:rsidR="008912D1" w:rsidRPr="00CF42DC">
        <w:t>.</w:t>
      </w:r>
    </w:p>
    <w:p w14:paraId="571C6BCD" w14:textId="77777777" w:rsidR="006555DE" w:rsidRPr="00325D7A" w:rsidRDefault="006555DE" w:rsidP="00286051">
      <w:pPr>
        <w:pStyle w:val="Heading2"/>
      </w:pPr>
      <w:bookmarkStart w:id="410" w:name="_Toc143338256"/>
      <w:bookmarkStart w:id="411" w:name="_Toc143340321"/>
      <w:bookmarkStart w:id="412" w:name="_Toc143418696"/>
      <w:bookmarkStart w:id="413" w:name="_Toc143420205"/>
      <w:bookmarkStart w:id="414" w:name="_Toc177204280"/>
      <w:bookmarkStart w:id="415" w:name="_Toc204589514"/>
      <w:bookmarkStart w:id="416" w:name="_Toc204590160"/>
      <w:bookmarkStart w:id="417" w:name="_Toc204591244"/>
      <w:bookmarkStart w:id="418" w:name="_Toc204591303"/>
      <w:bookmarkStart w:id="419" w:name="_Toc204591415"/>
      <w:bookmarkStart w:id="420" w:name="_Toc207163432"/>
      <w:bookmarkStart w:id="421" w:name="_Toc332277182"/>
      <w:bookmarkStart w:id="422" w:name="_Toc174632414"/>
      <w:r w:rsidRPr="00325D7A">
        <w:t>Environmental performance</w:t>
      </w:r>
      <w:bookmarkEnd w:id="410"/>
      <w:bookmarkEnd w:id="411"/>
      <w:bookmarkEnd w:id="412"/>
      <w:bookmarkEnd w:id="413"/>
      <w:bookmarkEnd w:id="414"/>
      <w:bookmarkEnd w:id="415"/>
      <w:bookmarkEnd w:id="416"/>
      <w:bookmarkEnd w:id="417"/>
      <w:bookmarkEnd w:id="418"/>
      <w:bookmarkEnd w:id="419"/>
      <w:bookmarkEnd w:id="420"/>
      <w:bookmarkEnd w:id="421"/>
      <w:bookmarkEnd w:id="422"/>
      <w:r w:rsidR="00D04E8C" w:rsidRPr="00325D7A">
        <w:fldChar w:fldCharType="begin"/>
      </w:r>
      <w:r w:rsidRPr="00325D7A">
        <w:instrText>xe "Environmental performance"</w:instrText>
      </w:r>
      <w:r w:rsidR="00D04E8C" w:rsidRPr="00325D7A">
        <w:fldChar w:fldCharType="end"/>
      </w:r>
    </w:p>
    <w:p w14:paraId="6A9149A2" w14:textId="64C95C29" w:rsidR="00A32306" w:rsidRPr="008715D6" w:rsidRDefault="00A572D4" w:rsidP="008715D6">
      <w:r w:rsidRPr="00480D80">
        <w:t xml:space="preserve">The Panel </w:t>
      </w:r>
      <w:r w:rsidR="00314D66">
        <w:t>follows Treasury</w:t>
      </w:r>
      <w:r w:rsidR="008941F8">
        <w:t>’</w:t>
      </w:r>
      <w:r w:rsidR="00314D66">
        <w:t>s Environmental Management Plan</w:t>
      </w:r>
      <w:r w:rsidR="00271644">
        <w:t xml:space="preserve">. </w:t>
      </w:r>
      <w:r w:rsidR="00314D66" w:rsidRPr="00603084">
        <w:t xml:space="preserve">Details </w:t>
      </w:r>
      <w:r w:rsidR="00314D66">
        <w:t>on actions taken in relation to ecologically sustainable development and environmental performance are i</w:t>
      </w:r>
      <w:r w:rsidR="00314D66" w:rsidRPr="00A942BA">
        <w:t>ncluded in Treasury</w:t>
      </w:r>
      <w:r w:rsidR="008941F8">
        <w:t>’</w:t>
      </w:r>
      <w:r w:rsidR="00314D66">
        <w:t>s</w:t>
      </w:r>
      <w:r w:rsidR="00314D66" w:rsidRPr="00A942BA">
        <w:t xml:space="preserve"> Annual </w:t>
      </w:r>
      <w:r w:rsidR="00314D66" w:rsidRPr="00040B6D">
        <w:t>Repor</w:t>
      </w:r>
      <w:r w:rsidR="00314D66" w:rsidRPr="00025759">
        <w:t>t (Part </w:t>
      </w:r>
      <w:r w:rsidR="00040B6D" w:rsidRPr="00025759">
        <w:t>5</w:t>
      </w:r>
      <w:r w:rsidR="00314D66" w:rsidRPr="00025759">
        <w:t xml:space="preserve">: </w:t>
      </w:r>
      <w:r w:rsidR="00040B6D" w:rsidRPr="00025759">
        <w:rPr>
          <w:rStyle w:val="ui-provider"/>
        </w:rPr>
        <w:t>Appendices</w:t>
      </w:r>
      <w:r w:rsidR="00271644">
        <w:rPr>
          <w:rStyle w:val="ui-provider"/>
        </w:rPr>
        <w:t xml:space="preserve"> – </w:t>
      </w:r>
      <w:r w:rsidR="00040B6D" w:rsidRPr="00025759">
        <w:rPr>
          <w:rStyle w:val="ui-provider"/>
        </w:rPr>
        <w:t>Ecologically sustainable development and environmental performance</w:t>
      </w:r>
      <w:r w:rsidR="00314D66" w:rsidRPr="00025759">
        <w:t>).</w:t>
      </w:r>
      <w:r w:rsidR="00314D66">
        <w:t xml:space="preserve"> </w:t>
      </w:r>
      <w:bookmarkStart w:id="423" w:name="_Toc143338257"/>
      <w:bookmarkStart w:id="424" w:name="_Toc143340322"/>
      <w:bookmarkStart w:id="425" w:name="_Toc143418697"/>
      <w:bookmarkStart w:id="426" w:name="_Toc143420206"/>
      <w:bookmarkStart w:id="427" w:name="_Toc177204281"/>
      <w:bookmarkStart w:id="428" w:name="_Toc204589515"/>
      <w:bookmarkStart w:id="429" w:name="_Toc204590161"/>
      <w:bookmarkStart w:id="430" w:name="_Toc204591245"/>
      <w:bookmarkStart w:id="431" w:name="_Toc204591304"/>
      <w:bookmarkStart w:id="432" w:name="_Toc204591416"/>
      <w:bookmarkStart w:id="433" w:name="_Toc207163433"/>
      <w:bookmarkStart w:id="434" w:name="_Toc332277183"/>
      <w:r w:rsidR="00A32306" w:rsidRPr="008715D6">
        <w:br w:type="page"/>
      </w:r>
    </w:p>
    <w:p w14:paraId="571C6BCF" w14:textId="20940BB1" w:rsidR="00015217" w:rsidRDefault="006555DE" w:rsidP="00286051">
      <w:pPr>
        <w:pStyle w:val="Heading2"/>
      </w:pPr>
      <w:bookmarkStart w:id="435" w:name="_Toc174632415"/>
      <w:r w:rsidRPr="00AE5570">
        <w:lastRenderedPageBreak/>
        <w:t>Freedom of information</w:t>
      </w:r>
      <w:bookmarkEnd w:id="423"/>
      <w:bookmarkEnd w:id="424"/>
      <w:bookmarkEnd w:id="425"/>
      <w:bookmarkEnd w:id="426"/>
      <w:bookmarkEnd w:id="427"/>
      <w:bookmarkEnd w:id="428"/>
      <w:bookmarkEnd w:id="429"/>
      <w:bookmarkEnd w:id="430"/>
      <w:bookmarkEnd w:id="431"/>
      <w:bookmarkEnd w:id="432"/>
      <w:bookmarkEnd w:id="433"/>
      <w:bookmarkEnd w:id="434"/>
      <w:bookmarkEnd w:id="435"/>
      <w:r w:rsidR="00D04E8C" w:rsidRPr="00AE5570">
        <w:fldChar w:fldCharType="begin"/>
      </w:r>
      <w:r w:rsidR="00BA591D" w:rsidRPr="00AE5570">
        <w:instrText xml:space="preserve"> XE "Freedom of information" </w:instrText>
      </w:r>
      <w:r w:rsidR="00D04E8C" w:rsidRPr="00AE5570">
        <w:fldChar w:fldCharType="end"/>
      </w:r>
    </w:p>
    <w:p w14:paraId="5CE22084" w14:textId="32CE1434" w:rsidR="00891B17" w:rsidRPr="008715D6" w:rsidRDefault="0040172C" w:rsidP="006163F5">
      <w:r w:rsidRPr="002B2BC0">
        <w:rPr>
          <w:lang w:eastAsia="en-AU"/>
        </w:rPr>
        <w:t xml:space="preserve">Entities </w:t>
      </w:r>
      <w:r w:rsidR="000A7AD9" w:rsidRPr="002B2BC0">
        <w:rPr>
          <w:lang w:eastAsia="en-AU"/>
        </w:rPr>
        <w:t xml:space="preserve">subject to the </w:t>
      </w:r>
      <w:r w:rsidR="000A7AD9" w:rsidRPr="00FF4DB7">
        <w:rPr>
          <w:rStyle w:val="Emphasis"/>
        </w:rPr>
        <w:t>Freedom of Information Act 1982</w:t>
      </w:r>
      <w:r w:rsidR="000A7AD9" w:rsidRPr="002B2BC0">
        <w:rPr>
          <w:lang w:eastAsia="en-AU"/>
        </w:rPr>
        <w:t xml:space="preserve"> (Cth) (FOI Act) are required to publish information to the public as part of the Information Publication Scheme (IPS). This requirement is in </w:t>
      </w:r>
      <w:r w:rsidR="00CC73CE">
        <w:rPr>
          <w:lang w:eastAsia="en-AU"/>
        </w:rPr>
        <w:t>Part </w:t>
      </w:r>
      <w:r w:rsidR="000A7AD9" w:rsidRPr="002B2BC0">
        <w:rPr>
          <w:lang w:eastAsia="en-AU"/>
        </w:rPr>
        <w:t>II of the FOI Act and has replaced the former requirement to publish a section 8 statement in an annual report. Each agency must display on its website a plan showing what information it publishes in accordance with the IPS requirements. The Panel</w:t>
      </w:r>
      <w:r w:rsidR="008941F8">
        <w:rPr>
          <w:lang w:eastAsia="en-AU"/>
        </w:rPr>
        <w:t>’</w:t>
      </w:r>
      <w:r w:rsidR="000A7AD9" w:rsidRPr="002B2BC0">
        <w:rPr>
          <w:lang w:eastAsia="en-AU"/>
        </w:rPr>
        <w:t>s IPS can be found on its website.</w:t>
      </w:r>
      <w:bookmarkStart w:id="436" w:name="_Toc143338258"/>
      <w:bookmarkStart w:id="437" w:name="_Toc143340323"/>
      <w:bookmarkStart w:id="438" w:name="_Toc143418698"/>
      <w:bookmarkStart w:id="439" w:name="_Toc143420207"/>
      <w:bookmarkStart w:id="440" w:name="_Toc177204282"/>
      <w:bookmarkStart w:id="441" w:name="_Toc204589523"/>
      <w:bookmarkStart w:id="442" w:name="_Toc204590162"/>
      <w:bookmarkStart w:id="443" w:name="_Toc204591246"/>
      <w:bookmarkStart w:id="444" w:name="_Toc204591305"/>
      <w:bookmarkStart w:id="445" w:name="_Toc204591417"/>
      <w:bookmarkStart w:id="446" w:name="_Toc207163434"/>
      <w:bookmarkStart w:id="447" w:name="_Toc332277184"/>
    </w:p>
    <w:p w14:paraId="571C6BD1" w14:textId="679BBE58" w:rsidR="006555DE" w:rsidRPr="00C7025E" w:rsidRDefault="006555DE" w:rsidP="00286051">
      <w:pPr>
        <w:pStyle w:val="Heading2"/>
      </w:pPr>
      <w:bookmarkStart w:id="448" w:name="_Toc174632416"/>
      <w:r w:rsidRPr="00C7025E">
        <w:t>Regulatory Impact Statements</w:t>
      </w:r>
      <w:bookmarkEnd w:id="436"/>
      <w:bookmarkEnd w:id="437"/>
      <w:bookmarkEnd w:id="438"/>
      <w:bookmarkEnd w:id="439"/>
      <w:bookmarkEnd w:id="440"/>
      <w:bookmarkEnd w:id="441"/>
      <w:bookmarkEnd w:id="442"/>
      <w:bookmarkEnd w:id="443"/>
      <w:bookmarkEnd w:id="444"/>
      <w:bookmarkEnd w:id="445"/>
      <w:bookmarkEnd w:id="446"/>
      <w:bookmarkEnd w:id="447"/>
      <w:bookmarkEnd w:id="448"/>
      <w:r w:rsidR="00734F4B" w:rsidRPr="00325D7A">
        <w:fldChar w:fldCharType="begin"/>
      </w:r>
      <w:r w:rsidR="00734F4B" w:rsidRPr="00325D7A">
        <w:instrText>xe "</w:instrText>
      </w:r>
      <w:r w:rsidR="00734F4B">
        <w:instrText>Regulatory Impact Statements</w:instrText>
      </w:r>
      <w:r w:rsidR="00734F4B" w:rsidRPr="00325D7A">
        <w:instrText>"</w:instrText>
      </w:r>
      <w:r w:rsidR="00734F4B" w:rsidRPr="00325D7A">
        <w:fldChar w:fldCharType="end"/>
      </w:r>
    </w:p>
    <w:p w14:paraId="571C6BD2" w14:textId="682CACB1" w:rsidR="00354605" w:rsidRDefault="006555DE" w:rsidP="00000701">
      <w:pPr>
        <w:spacing w:after="0"/>
      </w:pPr>
      <w:r w:rsidRPr="00CF42DC">
        <w:t>The Panel did not submit any Regulatory Impact Statements in 20</w:t>
      </w:r>
      <w:r w:rsidR="006108C2" w:rsidRPr="00CF42DC">
        <w:t>2</w:t>
      </w:r>
      <w:r w:rsidR="00CF42DC" w:rsidRPr="00CF42DC">
        <w:t>3</w:t>
      </w:r>
      <w:r w:rsidR="00550FAF" w:rsidRPr="00CF42DC">
        <w:t>–</w:t>
      </w:r>
      <w:r w:rsidR="00AA572E" w:rsidRPr="00CF42DC">
        <w:t>2</w:t>
      </w:r>
      <w:r w:rsidR="00CF42DC" w:rsidRPr="00CF42DC">
        <w:t>4</w:t>
      </w:r>
      <w:r w:rsidRPr="00CF42DC">
        <w:t>.</w:t>
      </w:r>
      <w:bookmarkStart w:id="449" w:name="_Panel_members"/>
      <w:bookmarkEnd w:id="449"/>
      <w:r w:rsidR="00C17886">
        <w:t xml:space="preserve"> </w:t>
      </w:r>
    </w:p>
    <w:p w14:paraId="6BBE2A28" w14:textId="77777777" w:rsidR="002D0C50" w:rsidRPr="005F0B4E" w:rsidRDefault="002D0C50" w:rsidP="00000701">
      <w:pPr>
        <w:spacing w:after="0"/>
        <w:rPr>
          <w:rFonts w:eastAsia="Batang"/>
        </w:rPr>
      </w:pPr>
    </w:p>
    <w:p w14:paraId="571C6BD3" w14:textId="77777777" w:rsidR="005F0B4E" w:rsidRPr="005F0B4E" w:rsidRDefault="005F0B4E" w:rsidP="005F0B4E">
      <w:pPr>
        <w:rPr>
          <w:rFonts w:eastAsia="Batang"/>
        </w:rPr>
        <w:sectPr w:rsidR="005F0B4E" w:rsidRPr="005F0B4E" w:rsidSect="00666211">
          <w:type w:val="oddPage"/>
          <w:pgSz w:w="11907" w:h="16840" w:code="9"/>
          <w:pgMar w:top="2466" w:right="2098" w:bottom="2466" w:left="2098" w:header="1899" w:footer="1899" w:gutter="0"/>
          <w:pgBorders w:offsetFrom="page">
            <w:bottom w:val="single" w:sz="2" w:space="24" w:color="1F497D" w:themeColor="text2"/>
          </w:pgBorders>
          <w:cols w:space="720"/>
          <w:titlePg/>
          <w:docGrid w:linePitch="286"/>
        </w:sectPr>
      </w:pPr>
    </w:p>
    <w:p w14:paraId="571C6BD4" w14:textId="2CDD4AC9" w:rsidR="006555DE" w:rsidRPr="009448D8" w:rsidRDefault="00CC73CE" w:rsidP="00382254">
      <w:pPr>
        <w:pStyle w:val="Heading1"/>
        <w:rPr>
          <w:highlight w:val="lightGray"/>
        </w:rPr>
      </w:pPr>
      <w:bookmarkStart w:id="450" w:name="_Toc143338259"/>
      <w:bookmarkStart w:id="451" w:name="_Toc143340324"/>
      <w:bookmarkStart w:id="452" w:name="_Toc143418699"/>
      <w:bookmarkStart w:id="453" w:name="_Toc143420208"/>
      <w:bookmarkStart w:id="454" w:name="_Toc177204283"/>
      <w:bookmarkStart w:id="455" w:name="_Toc204589524"/>
      <w:bookmarkStart w:id="456" w:name="_Toc204589539"/>
      <w:bookmarkStart w:id="457" w:name="_Toc204590163"/>
      <w:bookmarkStart w:id="458" w:name="_Toc204591247"/>
      <w:bookmarkStart w:id="459" w:name="_Toc204591306"/>
      <w:bookmarkStart w:id="460" w:name="_Toc204591418"/>
      <w:bookmarkStart w:id="461" w:name="_Toc207163435"/>
      <w:bookmarkStart w:id="462" w:name="_Toc362608088"/>
      <w:bookmarkStart w:id="463" w:name="_Toc174632417"/>
      <w:r>
        <w:lastRenderedPageBreak/>
        <w:t>Appendix </w:t>
      </w:r>
      <w:r w:rsidR="006555DE" w:rsidRPr="000A343F">
        <w:t>1</w:t>
      </w:r>
      <w:r w:rsidR="00CD2FE5">
        <w:t xml:space="preserve"> – </w:t>
      </w:r>
      <w:r w:rsidR="006555DE" w:rsidRPr="000A343F">
        <w:t>Panel members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71C6BD5" w14:textId="1155D07A" w:rsidR="006555DE" w:rsidRPr="00955C0F" w:rsidRDefault="00CC73CE" w:rsidP="009F78DC">
      <w:pPr>
        <w:pStyle w:val="TableMainHeading"/>
      </w:pPr>
      <w:bookmarkStart w:id="464" w:name="_Toc204589525"/>
      <w:bookmarkStart w:id="465" w:name="_Toc146790817"/>
      <w:r w:rsidRPr="00955C0F">
        <w:t>Table </w:t>
      </w:r>
      <w:r w:rsidR="002D2C29">
        <w:t>9</w:t>
      </w:r>
      <w:r w:rsidR="00222C5B" w:rsidRPr="00955C0F">
        <w:t xml:space="preserve">: </w:t>
      </w:r>
      <w:r w:rsidR="006555DE" w:rsidRPr="00955C0F">
        <w:t>Members</w:t>
      </w:r>
      <w:r w:rsidR="00D04E8C" w:rsidRPr="00955C0F">
        <w:fldChar w:fldCharType="begin"/>
      </w:r>
      <w:r w:rsidR="006555DE" w:rsidRPr="00955C0F">
        <w:instrText>xe "Panel members"</w:instrText>
      </w:r>
      <w:r w:rsidR="00D04E8C" w:rsidRPr="00955C0F">
        <w:fldChar w:fldCharType="end"/>
      </w:r>
      <w:r w:rsidR="006555DE" w:rsidRPr="00955C0F">
        <w:t xml:space="preserve"> of the Panel </w:t>
      </w:r>
      <w:r w:rsidR="00CC3EDC" w:rsidRPr="00955C0F">
        <w:t>a</w:t>
      </w:r>
      <w:r w:rsidR="00BA44AE" w:rsidRPr="00955C0F">
        <w:t>t</w:t>
      </w:r>
      <w:r w:rsidR="00CC3EDC" w:rsidRPr="00955C0F">
        <w:t xml:space="preserve"> </w:t>
      </w:r>
      <w:r w:rsidR="006555DE" w:rsidRPr="00955C0F">
        <w:t>30 June 20</w:t>
      </w:r>
      <w:bookmarkEnd w:id="464"/>
      <w:r w:rsidR="00AA572E" w:rsidRPr="00955C0F">
        <w:t>2</w:t>
      </w:r>
      <w:bookmarkEnd w:id="465"/>
      <w:r w:rsidR="00B25010" w:rsidRPr="00955C0F">
        <w:t>4</w:t>
      </w:r>
    </w:p>
    <w:tbl>
      <w:tblPr>
        <w:tblW w:w="5000" w:type="pct"/>
        <w:tblBorders>
          <w:top w:val="single" w:sz="4" w:space="0" w:color="0E406A" w:themeColor="accent1"/>
          <w:bottom w:val="single" w:sz="4" w:space="0" w:color="0E406A" w:themeColor="accent1"/>
        </w:tblBorders>
        <w:tblLayout w:type="fixed"/>
        <w:tblLook w:val="04A0" w:firstRow="1" w:lastRow="0" w:firstColumn="1" w:lastColumn="0" w:noHBand="0" w:noVBand="1"/>
      </w:tblPr>
      <w:tblGrid>
        <w:gridCol w:w="3856"/>
        <w:gridCol w:w="3855"/>
      </w:tblGrid>
      <w:tr w:rsidR="00465412" w:rsidRPr="00990E92" w14:paraId="106A28E8" w14:textId="77777777" w:rsidTr="004229F6">
        <w:trPr>
          <w:trHeight w:hRule="exact" w:val="340"/>
        </w:trPr>
        <w:tc>
          <w:tcPr>
            <w:tcW w:w="3856" w:type="dxa"/>
            <w:shd w:val="clear" w:color="auto" w:fill="F2F2F2" w:themeFill="background1" w:themeFillShade="F2"/>
            <w:noWrap/>
            <w:vAlign w:val="bottom"/>
          </w:tcPr>
          <w:p w14:paraId="1DC2F5B9" w14:textId="2987D01D" w:rsidR="00465412" w:rsidRPr="00465412" w:rsidRDefault="00465412" w:rsidP="00465412">
            <w:pPr>
              <w:pStyle w:val="TableTextLeft-Arial"/>
              <w:rPr>
                <w:szCs w:val="18"/>
                <w:highlight w:val="yellow"/>
              </w:rPr>
            </w:pPr>
            <w:r w:rsidRPr="00465412">
              <w:rPr>
                <w:szCs w:val="18"/>
              </w:rPr>
              <w:t>Mr Alex Cartel (President)</w:t>
            </w:r>
          </w:p>
        </w:tc>
        <w:tc>
          <w:tcPr>
            <w:tcW w:w="3855" w:type="dxa"/>
            <w:shd w:val="clear" w:color="auto" w:fill="F2F2F2" w:themeFill="background1" w:themeFillShade="F2"/>
            <w:noWrap/>
            <w:vAlign w:val="bottom"/>
          </w:tcPr>
          <w:p w14:paraId="5B596AFC" w14:textId="0D2F8E9B" w:rsidR="00465412" w:rsidRPr="00465412" w:rsidRDefault="00465412" w:rsidP="00465412">
            <w:pPr>
              <w:pStyle w:val="TableTextLeft-Arial"/>
              <w:rPr>
                <w:szCs w:val="18"/>
                <w:highlight w:val="yellow"/>
              </w:rPr>
            </w:pPr>
            <w:r w:rsidRPr="00465412">
              <w:rPr>
                <w:szCs w:val="18"/>
              </w:rPr>
              <w:t>Mr Jeremy Leibler</w:t>
            </w:r>
          </w:p>
        </w:tc>
      </w:tr>
      <w:tr w:rsidR="00465412" w:rsidRPr="00990E92" w14:paraId="5AD81914" w14:textId="77777777" w:rsidTr="004229F6">
        <w:trPr>
          <w:trHeight w:hRule="exact" w:val="340"/>
        </w:trPr>
        <w:tc>
          <w:tcPr>
            <w:tcW w:w="3856" w:type="dxa"/>
            <w:shd w:val="clear" w:color="auto" w:fill="FFFFFF" w:themeFill="background1"/>
            <w:noWrap/>
            <w:vAlign w:val="bottom"/>
          </w:tcPr>
          <w:p w14:paraId="32C1EB34" w14:textId="362215B7" w:rsidR="00465412" w:rsidRPr="00465412" w:rsidRDefault="00465412" w:rsidP="00465412">
            <w:pPr>
              <w:pStyle w:val="TableTextLeft-Arial"/>
              <w:rPr>
                <w:szCs w:val="18"/>
                <w:highlight w:val="yellow"/>
              </w:rPr>
            </w:pPr>
            <w:r w:rsidRPr="00465412">
              <w:rPr>
                <w:szCs w:val="18"/>
              </w:rPr>
              <w:t>Ms Yasmin Allen AM</w:t>
            </w:r>
          </w:p>
        </w:tc>
        <w:tc>
          <w:tcPr>
            <w:tcW w:w="3855" w:type="dxa"/>
            <w:shd w:val="clear" w:color="auto" w:fill="FFFFFF" w:themeFill="background1"/>
            <w:noWrap/>
            <w:vAlign w:val="bottom"/>
          </w:tcPr>
          <w:p w14:paraId="5468FDA9" w14:textId="48B84295" w:rsidR="00465412" w:rsidRPr="00465412" w:rsidRDefault="00465412" w:rsidP="00465412">
            <w:pPr>
              <w:pStyle w:val="TableTextLeft-Arial"/>
              <w:rPr>
                <w:szCs w:val="18"/>
                <w:highlight w:val="yellow"/>
              </w:rPr>
            </w:pPr>
            <w:r w:rsidRPr="00465412">
              <w:rPr>
                <w:szCs w:val="18"/>
              </w:rPr>
              <w:t>Mr Michael Lishman</w:t>
            </w:r>
          </w:p>
        </w:tc>
      </w:tr>
      <w:tr w:rsidR="00465412" w:rsidRPr="00990E92" w14:paraId="571C6BD8" w14:textId="77777777" w:rsidTr="004229F6">
        <w:trPr>
          <w:trHeight w:hRule="exact" w:val="340"/>
        </w:trPr>
        <w:tc>
          <w:tcPr>
            <w:tcW w:w="3856" w:type="dxa"/>
            <w:shd w:val="clear" w:color="auto" w:fill="F2F2F2" w:themeFill="background1" w:themeFillShade="F2"/>
            <w:noWrap/>
            <w:vAlign w:val="bottom"/>
          </w:tcPr>
          <w:p w14:paraId="571C6BD6" w14:textId="0DB4364A" w:rsidR="00465412" w:rsidRPr="00465412" w:rsidRDefault="00465412" w:rsidP="00465412">
            <w:pPr>
              <w:pStyle w:val="TableTextLeft-Arial"/>
              <w:rPr>
                <w:szCs w:val="18"/>
                <w:highlight w:val="yellow"/>
              </w:rPr>
            </w:pPr>
            <w:r w:rsidRPr="00465412">
              <w:rPr>
                <w:szCs w:val="18"/>
              </w:rPr>
              <w:t>Mr Kelvin Barry</w:t>
            </w:r>
          </w:p>
        </w:tc>
        <w:tc>
          <w:tcPr>
            <w:tcW w:w="3855" w:type="dxa"/>
            <w:shd w:val="clear" w:color="auto" w:fill="F2F2F2" w:themeFill="background1" w:themeFillShade="F2"/>
            <w:noWrap/>
            <w:vAlign w:val="bottom"/>
          </w:tcPr>
          <w:p w14:paraId="571C6BD7" w14:textId="12652B1D" w:rsidR="00465412" w:rsidRPr="00465412" w:rsidRDefault="00465412" w:rsidP="00465412">
            <w:pPr>
              <w:pStyle w:val="TableTextLeft-Arial"/>
              <w:rPr>
                <w:szCs w:val="18"/>
                <w:highlight w:val="yellow"/>
              </w:rPr>
            </w:pPr>
            <w:r w:rsidRPr="00465412">
              <w:rPr>
                <w:szCs w:val="18"/>
              </w:rPr>
              <w:t>Mr Timothy Longstaff</w:t>
            </w:r>
          </w:p>
        </w:tc>
      </w:tr>
      <w:tr w:rsidR="00465412" w:rsidRPr="00990E92" w14:paraId="571C6BDB" w14:textId="77777777" w:rsidTr="004229F6">
        <w:trPr>
          <w:trHeight w:hRule="exact" w:val="340"/>
        </w:trPr>
        <w:tc>
          <w:tcPr>
            <w:tcW w:w="3856" w:type="dxa"/>
            <w:shd w:val="clear" w:color="auto" w:fill="FFFFFF" w:themeFill="background1"/>
            <w:noWrap/>
            <w:vAlign w:val="bottom"/>
          </w:tcPr>
          <w:p w14:paraId="571C6BD9" w14:textId="32EEB8D4" w:rsidR="00465412" w:rsidRPr="00465412" w:rsidRDefault="00465412" w:rsidP="00465412">
            <w:pPr>
              <w:pStyle w:val="TableTextLeft-Arial"/>
              <w:rPr>
                <w:szCs w:val="18"/>
                <w:highlight w:val="yellow"/>
              </w:rPr>
            </w:pPr>
            <w:r w:rsidRPr="00465412">
              <w:rPr>
                <w:szCs w:val="18"/>
              </w:rPr>
              <w:t>Mr Robin Bishop</w:t>
            </w:r>
          </w:p>
        </w:tc>
        <w:tc>
          <w:tcPr>
            <w:tcW w:w="3855" w:type="dxa"/>
            <w:shd w:val="clear" w:color="auto" w:fill="FFFFFF" w:themeFill="background1"/>
            <w:noWrap/>
            <w:vAlign w:val="bottom"/>
          </w:tcPr>
          <w:p w14:paraId="571C6BDA" w14:textId="193AEDFB" w:rsidR="00465412" w:rsidRPr="00465412" w:rsidRDefault="00465412" w:rsidP="00465412">
            <w:pPr>
              <w:pStyle w:val="TableTextLeft-Arial"/>
              <w:rPr>
                <w:szCs w:val="18"/>
                <w:highlight w:val="yellow"/>
              </w:rPr>
            </w:pPr>
            <w:r w:rsidRPr="00465412">
              <w:rPr>
                <w:szCs w:val="18"/>
              </w:rPr>
              <w:t>Ms Sandy Mak</w:t>
            </w:r>
          </w:p>
        </w:tc>
      </w:tr>
      <w:tr w:rsidR="00465412" w:rsidRPr="00990E92" w14:paraId="571C6BDE" w14:textId="77777777" w:rsidTr="004229F6">
        <w:trPr>
          <w:trHeight w:hRule="exact" w:val="340"/>
        </w:trPr>
        <w:tc>
          <w:tcPr>
            <w:tcW w:w="3856" w:type="dxa"/>
            <w:shd w:val="clear" w:color="auto" w:fill="F2F2F2" w:themeFill="background1" w:themeFillShade="F2"/>
            <w:noWrap/>
            <w:vAlign w:val="bottom"/>
          </w:tcPr>
          <w:p w14:paraId="571C6BDC" w14:textId="18703FB9" w:rsidR="00465412" w:rsidRPr="00465412" w:rsidRDefault="00465412" w:rsidP="00465412">
            <w:pPr>
              <w:pStyle w:val="TableTextLeft-Arial"/>
              <w:rPr>
                <w:szCs w:val="18"/>
                <w:highlight w:val="yellow"/>
              </w:rPr>
            </w:pPr>
            <w:r w:rsidRPr="00465412">
              <w:rPr>
                <w:szCs w:val="18"/>
              </w:rPr>
              <w:t>Mr Carl Blanchard</w:t>
            </w:r>
          </w:p>
        </w:tc>
        <w:tc>
          <w:tcPr>
            <w:tcW w:w="3855" w:type="dxa"/>
            <w:shd w:val="clear" w:color="auto" w:fill="F2F2F2" w:themeFill="background1" w:themeFillShade="F2"/>
            <w:noWrap/>
            <w:vAlign w:val="bottom"/>
          </w:tcPr>
          <w:p w14:paraId="571C6BDD" w14:textId="3D9A5F70" w:rsidR="00465412" w:rsidRPr="00465412" w:rsidRDefault="00465412" w:rsidP="00465412">
            <w:pPr>
              <w:pStyle w:val="TableTextLeft-Arial"/>
              <w:rPr>
                <w:szCs w:val="18"/>
                <w:highlight w:val="yellow"/>
              </w:rPr>
            </w:pPr>
            <w:r w:rsidRPr="00465412">
              <w:rPr>
                <w:szCs w:val="18"/>
              </w:rPr>
              <w:t>Ms Rebecca Maslen</w:t>
            </w:r>
            <w:r w:rsidR="008941F8">
              <w:rPr>
                <w:szCs w:val="18"/>
              </w:rPr>
              <w:noBreakHyphen/>
            </w:r>
            <w:r w:rsidRPr="00465412">
              <w:rPr>
                <w:szCs w:val="18"/>
              </w:rPr>
              <w:t>Stannage</w:t>
            </w:r>
          </w:p>
        </w:tc>
      </w:tr>
      <w:tr w:rsidR="00465412" w:rsidRPr="00990E92" w14:paraId="571C6BE1" w14:textId="77777777" w:rsidTr="004229F6">
        <w:trPr>
          <w:trHeight w:val="340"/>
        </w:trPr>
        <w:tc>
          <w:tcPr>
            <w:tcW w:w="3856" w:type="dxa"/>
            <w:noWrap/>
            <w:vAlign w:val="bottom"/>
          </w:tcPr>
          <w:p w14:paraId="571C6BDF" w14:textId="5250CAFA" w:rsidR="00465412" w:rsidRPr="00465412" w:rsidRDefault="00465412" w:rsidP="00465412">
            <w:pPr>
              <w:pStyle w:val="TableTextLeft-Arial"/>
              <w:rPr>
                <w:szCs w:val="18"/>
                <w:highlight w:val="yellow"/>
              </w:rPr>
            </w:pPr>
            <w:r w:rsidRPr="00465412">
              <w:rPr>
                <w:szCs w:val="18"/>
              </w:rPr>
              <w:t>Mr Michael Borsky KC</w:t>
            </w:r>
          </w:p>
        </w:tc>
        <w:tc>
          <w:tcPr>
            <w:tcW w:w="3855" w:type="dxa"/>
            <w:noWrap/>
            <w:vAlign w:val="bottom"/>
          </w:tcPr>
          <w:p w14:paraId="571C6BE0" w14:textId="7162091D" w:rsidR="00465412" w:rsidRPr="00465412" w:rsidRDefault="00465412" w:rsidP="00465412">
            <w:pPr>
              <w:pStyle w:val="TableTextLeft-Arial"/>
              <w:rPr>
                <w:szCs w:val="18"/>
                <w:highlight w:val="yellow"/>
              </w:rPr>
            </w:pPr>
            <w:r w:rsidRPr="00465412">
              <w:rPr>
                <w:szCs w:val="18"/>
              </w:rPr>
              <w:t>Ms Denise McComish</w:t>
            </w:r>
          </w:p>
        </w:tc>
      </w:tr>
      <w:tr w:rsidR="00465412" w:rsidRPr="00990E92" w14:paraId="571C6BE4" w14:textId="77777777" w:rsidTr="004229F6">
        <w:trPr>
          <w:trHeight w:val="340"/>
        </w:trPr>
        <w:tc>
          <w:tcPr>
            <w:tcW w:w="3856" w:type="dxa"/>
            <w:shd w:val="clear" w:color="auto" w:fill="F2F2F2" w:themeFill="background1" w:themeFillShade="F2"/>
            <w:noWrap/>
            <w:vAlign w:val="bottom"/>
          </w:tcPr>
          <w:p w14:paraId="571C6BE2" w14:textId="3AF0132A" w:rsidR="00465412" w:rsidRPr="00465412" w:rsidRDefault="00465412" w:rsidP="00465412">
            <w:pPr>
              <w:pStyle w:val="TableTextLeft-Arial"/>
              <w:rPr>
                <w:szCs w:val="18"/>
                <w:highlight w:val="yellow"/>
              </w:rPr>
            </w:pPr>
            <w:r w:rsidRPr="00465412">
              <w:rPr>
                <w:szCs w:val="18"/>
              </w:rPr>
              <w:t>Mr Constantine Boulougouris</w:t>
            </w:r>
          </w:p>
        </w:tc>
        <w:tc>
          <w:tcPr>
            <w:tcW w:w="3855" w:type="dxa"/>
            <w:shd w:val="clear" w:color="auto" w:fill="F2F2F2" w:themeFill="background1" w:themeFillShade="F2"/>
            <w:noWrap/>
            <w:vAlign w:val="bottom"/>
          </w:tcPr>
          <w:p w14:paraId="571C6BE3" w14:textId="21109A37" w:rsidR="00465412" w:rsidRPr="00465412" w:rsidRDefault="00465412" w:rsidP="00465412">
            <w:pPr>
              <w:pStyle w:val="TableTextLeft-Arial"/>
              <w:rPr>
                <w:szCs w:val="18"/>
                <w:highlight w:val="yellow"/>
              </w:rPr>
            </w:pPr>
            <w:r w:rsidRPr="00465412">
              <w:rPr>
                <w:szCs w:val="18"/>
              </w:rPr>
              <w:t>Mr John McGlue</w:t>
            </w:r>
          </w:p>
        </w:tc>
      </w:tr>
      <w:tr w:rsidR="00465412" w:rsidRPr="00990E92" w14:paraId="571C6BE7" w14:textId="77777777" w:rsidTr="004229F6">
        <w:trPr>
          <w:trHeight w:val="340"/>
        </w:trPr>
        <w:tc>
          <w:tcPr>
            <w:tcW w:w="3856" w:type="dxa"/>
            <w:noWrap/>
            <w:vAlign w:val="bottom"/>
          </w:tcPr>
          <w:p w14:paraId="571C6BE5" w14:textId="2AE774EE" w:rsidR="00465412" w:rsidRPr="00465412" w:rsidRDefault="00465412" w:rsidP="00465412">
            <w:pPr>
              <w:pStyle w:val="TableTextLeft-Arial"/>
              <w:rPr>
                <w:szCs w:val="18"/>
                <w:highlight w:val="yellow"/>
              </w:rPr>
            </w:pPr>
            <w:r w:rsidRPr="00465412">
              <w:rPr>
                <w:szCs w:val="18"/>
              </w:rPr>
              <w:t>Mr James Burchnall</w:t>
            </w:r>
          </w:p>
        </w:tc>
        <w:tc>
          <w:tcPr>
            <w:tcW w:w="3855" w:type="dxa"/>
            <w:noWrap/>
            <w:vAlign w:val="bottom"/>
          </w:tcPr>
          <w:p w14:paraId="571C6BE6" w14:textId="4686FF01" w:rsidR="00465412" w:rsidRPr="00465412" w:rsidRDefault="00465412" w:rsidP="00465412">
            <w:pPr>
              <w:pStyle w:val="TableTextLeft-Arial"/>
              <w:rPr>
                <w:szCs w:val="18"/>
                <w:highlight w:val="yellow"/>
              </w:rPr>
            </w:pPr>
            <w:r w:rsidRPr="00465412">
              <w:rPr>
                <w:szCs w:val="18"/>
              </w:rPr>
              <w:t>Mr Bruce McLennan</w:t>
            </w:r>
          </w:p>
        </w:tc>
      </w:tr>
      <w:tr w:rsidR="00465412" w:rsidRPr="00990E92" w14:paraId="44C7998A" w14:textId="77777777" w:rsidTr="004229F6">
        <w:trPr>
          <w:trHeight w:val="340"/>
        </w:trPr>
        <w:tc>
          <w:tcPr>
            <w:tcW w:w="3856" w:type="dxa"/>
            <w:shd w:val="clear" w:color="auto" w:fill="F2F2F2" w:themeFill="background1" w:themeFillShade="F2"/>
            <w:noWrap/>
            <w:vAlign w:val="bottom"/>
          </w:tcPr>
          <w:p w14:paraId="17509BC8" w14:textId="29C0E009" w:rsidR="00465412" w:rsidRPr="00465412" w:rsidRDefault="00465412" w:rsidP="00465412">
            <w:pPr>
              <w:pStyle w:val="TableTextLeft-Arial"/>
              <w:rPr>
                <w:szCs w:val="18"/>
                <w:highlight w:val="yellow"/>
              </w:rPr>
            </w:pPr>
            <w:r w:rsidRPr="00465412">
              <w:rPr>
                <w:szCs w:val="18"/>
              </w:rPr>
              <w:t>Ms Stephanie Charles</w:t>
            </w:r>
          </w:p>
        </w:tc>
        <w:tc>
          <w:tcPr>
            <w:tcW w:w="3855" w:type="dxa"/>
            <w:shd w:val="clear" w:color="auto" w:fill="F2F2F2" w:themeFill="background1" w:themeFillShade="F2"/>
            <w:noWrap/>
            <w:vAlign w:val="bottom"/>
          </w:tcPr>
          <w:p w14:paraId="0A74FAD6" w14:textId="57455A3B" w:rsidR="00465412" w:rsidRPr="00465412" w:rsidRDefault="00465412" w:rsidP="00465412">
            <w:pPr>
              <w:pStyle w:val="TableTextLeft-Arial"/>
              <w:rPr>
                <w:szCs w:val="18"/>
                <w:highlight w:val="yellow"/>
              </w:rPr>
            </w:pPr>
            <w:r w:rsidRPr="00465412">
              <w:rPr>
                <w:szCs w:val="18"/>
              </w:rPr>
              <w:t>Mr Rory Moriarty</w:t>
            </w:r>
          </w:p>
        </w:tc>
      </w:tr>
      <w:tr w:rsidR="00465412" w:rsidRPr="00990E92" w14:paraId="571C6BEA" w14:textId="77777777" w:rsidTr="004229F6">
        <w:trPr>
          <w:trHeight w:val="340"/>
        </w:trPr>
        <w:tc>
          <w:tcPr>
            <w:tcW w:w="3856" w:type="dxa"/>
            <w:shd w:val="clear" w:color="auto" w:fill="FFFFFF" w:themeFill="background1"/>
            <w:noWrap/>
            <w:vAlign w:val="bottom"/>
          </w:tcPr>
          <w:p w14:paraId="571C6BE8" w14:textId="0D93B305" w:rsidR="00465412" w:rsidRPr="00465412" w:rsidRDefault="00465412" w:rsidP="00465412">
            <w:pPr>
              <w:pStyle w:val="TableTextLeft-Arial"/>
              <w:rPr>
                <w:szCs w:val="18"/>
                <w:highlight w:val="yellow"/>
              </w:rPr>
            </w:pPr>
            <w:r w:rsidRPr="00465412">
              <w:rPr>
                <w:szCs w:val="18"/>
              </w:rPr>
              <w:t>Mr Alberto Colla</w:t>
            </w:r>
          </w:p>
        </w:tc>
        <w:tc>
          <w:tcPr>
            <w:tcW w:w="3855" w:type="dxa"/>
            <w:shd w:val="clear" w:color="auto" w:fill="FFFFFF" w:themeFill="background1"/>
            <w:noWrap/>
            <w:vAlign w:val="bottom"/>
          </w:tcPr>
          <w:p w14:paraId="571C6BE9" w14:textId="325E9C10" w:rsidR="00465412" w:rsidRPr="00465412" w:rsidRDefault="00465412" w:rsidP="00465412">
            <w:pPr>
              <w:pStyle w:val="TableTextLeft-Arial"/>
              <w:rPr>
                <w:szCs w:val="18"/>
                <w:highlight w:val="yellow"/>
              </w:rPr>
            </w:pPr>
            <w:r w:rsidRPr="00465412">
              <w:rPr>
                <w:szCs w:val="18"/>
              </w:rPr>
              <w:t>Ms Kerry Morrow</w:t>
            </w:r>
          </w:p>
        </w:tc>
      </w:tr>
      <w:tr w:rsidR="00465412" w:rsidRPr="00990E92" w14:paraId="571C6BED" w14:textId="77777777" w:rsidTr="004229F6">
        <w:trPr>
          <w:trHeight w:val="340"/>
        </w:trPr>
        <w:tc>
          <w:tcPr>
            <w:tcW w:w="3856" w:type="dxa"/>
            <w:shd w:val="clear" w:color="auto" w:fill="F2F2F2" w:themeFill="background1" w:themeFillShade="F2"/>
            <w:noWrap/>
            <w:vAlign w:val="bottom"/>
          </w:tcPr>
          <w:p w14:paraId="571C6BEB" w14:textId="78E660B9" w:rsidR="00465412" w:rsidRPr="00465412" w:rsidRDefault="00465412" w:rsidP="00465412">
            <w:pPr>
              <w:pStyle w:val="TableTextLeft-Arial"/>
              <w:rPr>
                <w:szCs w:val="18"/>
                <w:highlight w:val="yellow"/>
              </w:rPr>
            </w:pPr>
            <w:r w:rsidRPr="00465412">
              <w:rPr>
                <w:szCs w:val="18"/>
              </w:rPr>
              <w:t>Mr Bruce Cowley</w:t>
            </w:r>
          </w:p>
        </w:tc>
        <w:tc>
          <w:tcPr>
            <w:tcW w:w="3855" w:type="dxa"/>
            <w:shd w:val="clear" w:color="auto" w:fill="F2F2F2" w:themeFill="background1" w:themeFillShade="F2"/>
            <w:noWrap/>
            <w:vAlign w:val="bottom"/>
          </w:tcPr>
          <w:p w14:paraId="571C6BEC" w14:textId="0F2F2169" w:rsidR="00465412" w:rsidRPr="00465412" w:rsidRDefault="00465412" w:rsidP="00465412">
            <w:pPr>
              <w:pStyle w:val="TableTextLeft-Arial"/>
              <w:rPr>
                <w:szCs w:val="18"/>
                <w:highlight w:val="yellow"/>
              </w:rPr>
            </w:pPr>
            <w:r w:rsidRPr="00465412">
              <w:rPr>
                <w:szCs w:val="18"/>
              </w:rPr>
              <w:t>Ms Emma</w:t>
            </w:r>
            <w:r w:rsidR="008941F8">
              <w:rPr>
                <w:szCs w:val="18"/>
              </w:rPr>
              <w:noBreakHyphen/>
            </w:r>
            <w:r w:rsidRPr="00465412">
              <w:rPr>
                <w:szCs w:val="18"/>
              </w:rPr>
              <w:t>Jane Newton</w:t>
            </w:r>
          </w:p>
        </w:tc>
      </w:tr>
      <w:tr w:rsidR="00465412" w:rsidRPr="00990E92" w14:paraId="571C6BF0" w14:textId="77777777" w:rsidTr="004229F6">
        <w:trPr>
          <w:trHeight w:val="340"/>
        </w:trPr>
        <w:tc>
          <w:tcPr>
            <w:tcW w:w="3856" w:type="dxa"/>
            <w:shd w:val="clear" w:color="auto" w:fill="FFFFFF" w:themeFill="background1"/>
            <w:noWrap/>
            <w:vAlign w:val="bottom"/>
          </w:tcPr>
          <w:p w14:paraId="571C6BEE" w14:textId="12C32AD9" w:rsidR="00465412" w:rsidRPr="00465412" w:rsidRDefault="00465412" w:rsidP="00465412">
            <w:pPr>
              <w:pStyle w:val="TableTextLeft-Arial"/>
              <w:rPr>
                <w:szCs w:val="18"/>
                <w:highlight w:val="yellow"/>
              </w:rPr>
            </w:pPr>
            <w:r w:rsidRPr="00465412">
              <w:rPr>
                <w:szCs w:val="18"/>
              </w:rPr>
              <w:t>Mr Kierin Deeming</w:t>
            </w:r>
          </w:p>
        </w:tc>
        <w:tc>
          <w:tcPr>
            <w:tcW w:w="3855" w:type="dxa"/>
            <w:shd w:val="clear" w:color="auto" w:fill="FFFFFF" w:themeFill="background1"/>
            <w:noWrap/>
            <w:vAlign w:val="bottom"/>
          </w:tcPr>
          <w:p w14:paraId="571C6BEF" w14:textId="5A4A57E5" w:rsidR="00465412" w:rsidRPr="00465412" w:rsidRDefault="00465412" w:rsidP="00465412">
            <w:pPr>
              <w:pStyle w:val="TableTextLeft-Arial"/>
              <w:rPr>
                <w:szCs w:val="18"/>
                <w:highlight w:val="yellow"/>
              </w:rPr>
            </w:pPr>
            <w:r w:rsidRPr="00465412">
              <w:rPr>
                <w:szCs w:val="18"/>
              </w:rPr>
              <w:t>Ms Diana Nicholson</w:t>
            </w:r>
          </w:p>
        </w:tc>
      </w:tr>
      <w:tr w:rsidR="00465412" w:rsidRPr="00990E92" w14:paraId="571C6BF3" w14:textId="77777777" w:rsidTr="004229F6">
        <w:trPr>
          <w:trHeight w:val="340"/>
        </w:trPr>
        <w:tc>
          <w:tcPr>
            <w:tcW w:w="3856" w:type="dxa"/>
            <w:shd w:val="clear" w:color="auto" w:fill="F2F2F2" w:themeFill="background1" w:themeFillShade="F2"/>
            <w:noWrap/>
            <w:vAlign w:val="bottom"/>
          </w:tcPr>
          <w:p w14:paraId="571C6BF1" w14:textId="2E900B86" w:rsidR="00465412" w:rsidRPr="00465412" w:rsidRDefault="00465412" w:rsidP="00465412">
            <w:pPr>
              <w:pStyle w:val="TableTextLeft-Arial"/>
              <w:rPr>
                <w:szCs w:val="18"/>
                <w:highlight w:val="yellow"/>
              </w:rPr>
            </w:pPr>
            <w:r w:rsidRPr="00465412">
              <w:rPr>
                <w:szCs w:val="18"/>
              </w:rPr>
              <w:t>Ms Chelsey Drake</w:t>
            </w:r>
          </w:p>
        </w:tc>
        <w:tc>
          <w:tcPr>
            <w:tcW w:w="3855" w:type="dxa"/>
            <w:shd w:val="clear" w:color="auto" w:fill="F2F2F2" w:themeFill="background1" w:themeFillShade="F2"/>
            <w:noWrap/>
            <w:vAlign w:val="bottom"/>
          </w:tcPr>
          <w:p w14:paraId="571C6BF2" w14:textId="7307F6FD" w:rsidR="00465412" w:rsidRPr="00465412" w:rsidRDefault="00465412" w:rsidP="00465412">
            <w:pPr>
              <w:pStyle w:val="TableTextLeft-Arial"/>
              <w:rPr>
                <w:szCs w:val="18"/>
                <w:highlight w:val="yellow"/>
              </w:rPr>
            </w:pPr>
            <w:r w:rsidRPr="00465412">
              <w:rPr>
                <w:szCs w:val="18"/>
              </w:rPr>
              <w:t>Mrs Deborah Page AM</w:t>
            </w:r>
          </w:p>
        </w:tc>
      </w:tr>
      <w:tr w:rsidR="00465412" w:rsidRPr="00990E92" w14:paraId="571C6BF6" w14:textId="77777777" w:rsidTr="004229F6">
        <w:trPr>
          <w:trHeight w:val="340"/>
        </w:trPr>
        <w:tc>
          <w:tcPr>
            <w:tcW w:w="3856" w:type="dxa"/>
            <w:shd w:val="clear" w:color="auto" w:fill="FFFFFF" w:themeFill="background1"/>
            <w:noWrap/>
            <w:vAlign w:val="bottom"/>
          </w:tcPr>
          <w:p w14:paraId="571C6BF4" w14:textId="46A6183B" w:rsidR="00465412" w:rsidRPr="00465412" w:rsidRDefault="00465412" w:rsidP="00465412">
            <w:pPr>
              <w:pStyle w:val="TableTextLeft-Arial"/>
              <w:rPr>
                <w:szCs w:val="18"/>
                <w:highlight w:val="yellow"/>
              </w:rPr>
            </w:pPr>
            <w:r w:rsidRPr="00465412">
              <w:rPr>
                <w:szCs w:val="18"/>
              </w:rPr>
              <w:t>Ms Teresa Dyson</w:t>
            </w:r>
          </w:p>
        </w:tc>
        <w:tc>
          <w:tcPr>
            <w:tcW w:w="3855" w:type="dxa"/>
            <w:shd w:val="clear" w:color="auto" w:fill="FFFFFF" w:themeFill="background1"/>
            <w:noWrap/>
            <w:vAlign w:val="bottom"/>
          </w:tcPr>
          <w:p w14:paraId="571C6BF5" w14:textId="2B034CBB" w:rsidR="00465412" w:rsidRPr="00465412" w:rsidRDefault="00465412" w:rsidP="00465412">
            <w:pPr>
              <w:pStyle w:val="TableTextLeft-Arial"/>
              <w:rPr>
                <w:szCs w:val="18"/>
                <w:highlight w:val="yellow"/>
              </w:rPr>
            </w:pPr>
            <w:r w:rsidRPr="00465412">
              <w:rPr>
                <w:szCs w:val="18"/>
              </w:rPr>
              <w:t>Ms Reeny Paraskeva</w:t>
            </w:r>
          </w:p>
        </w:tc>
      </w:tr>
      <w:tr w:rsidR="00465412" w:rsidRPr="00990E92" w14:paraId="571C6BF9" w14:textId="77777777" w:rsidTr="004229F6">
        <w:trPr>
          <w:trHeight w:val="340"/>
        </w:trPr>
        <w:tc>
          <w:tcPr>
            <w:tcW w:w="3856" w:type="dxa"/>
            <w:shd w:val="clear" w:color="auto" w:fill="F2F2F2" w:themeFill="background1" w:themeFillShade="F2"/>
            <w:noWrap/>
            <w:vAlign w:val="bottom"/>
          </w:tcPr>
          <w:p w14:paraId="571C6BF7" w14:textId="720CB565" w:rsidR="00465412" w:rsidRPr="00465412" w:rsidRDefault="00465412" w:rsidP="00465412">
            <w:pPr>
              <w:pStyle w:val="TableTextLeft-Arial"/>
              <w:rPr>
                <w:szCs w:val="18"/>
                <w:highlight w:val="yellow"/>
              </w:rPr>
            </w:pPr>
            <w:r w:rsidRPr="00465412">
              <w:rPr>
                <w:szCs w:val="18"/>
              </w:rPr>
              <w:t>Ms Katrina Efthim</w:t>
            </w:r>
          </w:p>
        </w:tc>
        <w:tc>
          <w:tcPr>
            <w:tcW w:w="3855" w:type="dxa"/>
            <w:shd w:val="clear" w:color="auto" w:fill="F2F2F2" w:themeFill="background1" w:themeFillShade="F2"/>
            <w:noWrap/>
            <w:vAlign w:val="bottom"/>
          </w:tcPr>
          <w:p w14:paraId="571C6BF8" w14:textId="15FE08C2" w:rsidR="00465412" w:rsidRPr="00465412" w:rsidRDefault="00465412" w:rsidP="00465412">
            <w:pPr>
              <w:pStyle w:val="TableTextLeft-Arial"/>
              <w:rPr>
                <w:szCs w:val="18"/>
                <w:highlight w:val="yellow"/>
              </w:rPr>
            </w:pPr>
            <w:r w:rsidRPr="00465412">
              <w:rPr>
                <w:szCs w:val="18"/>
              </w:rPr>
              <w:t>Mr Neil Pathak</w:t>
            </w:r>
          </w:p>
        </w:tc>
      </w:tr>
      <w:tr w:rsidR="00465412" w:rsidRPr="00990E92" w14:paraId="571C6BFC" w14:textId="77777777" w:rsidTr="004229F6">
        <w:trPr>
          <w:trHeight w:val="340"/>
        </w:trPr>
        <w:tc>
          <w:tcPr>
            <w:tcW w:w="3856" w:type="dxa"/>
            <w:shd w:val="clear" w:color="auto" w:fill="FFFFFF" w:themeFill="background1"/>
            <w:noWrap/>
            <w:vAlign w:val="bottom"/>
          </w:tcPr>
          <w:p w14:paraId="571C6BFA" w14:textId="754E776E" w:rsidR="00465412" w:rsidRPr="00465412" w:rsidRDefault="00465412" w:rsidP="00465412">
            <w:pPr>
              <w:pStyle w:val="TableTextLeft-Arial"/>
              <w:rPr>
                <w:szCs w:val="18"/>
                <w:highlight w:val="yellow"/>
              </w:rPr>
            </w:pPr>
            <w:r w:rsidRPr="00465412">
              <w:rPr>
                <w:szCs w:val="18"/>
              </w:rPr>
              <w:t>Ms Sylvia Falzon</w:t>
            </w:r>
          </w:p>
        </w:tc>
        <w:tc>
          <w:tcPr>
            <w:tcW w:w="3855" w:type="dxa"/>
            <w:shd w:val="clear" w:color="auto" w:fill="FFFFFF" w:themeFill="background1"/>
            <w:noWrap/>
            <w:vAlign w:val="bottom"/>
          </w:tcPr>
          <w:p w14:paraId="571C6BFB" w14:textId="254EA787" w:rsidR="00465412" w:rsidRPr="00465412" w:rsidRDefault="00465412" w:rsidP="00465412">
            <w:pPr>
              <w:pStyle w:val="TableTextLeft-Arial"/>
              <w:rPr>
                <w:szCs w:val="18"/>
                <w:highlight w:val="yellow"/>
              </w:rPr>
            </w:pPr>
            <w:r w:rsidRPr="00465412">
              <w:rPr>
                <w:szCs w:val="18"/>
              </w:rPr>
              <w:t>Mr Richard Phillips</w:t>
            </w:r>
          </w:p>
        </w:tc>
      </w:tr>
      <w:tr w:rsidR="00465412" w:rsidRPr="00990E92" w14:paraId="595F0829" w14:textId="77777777" w:rsidTr="004229F6">
        <w:trPr>
          <w:trHeight w:val="340"/>
        </w:trPr>
        <w:tc>
          <w:tcPr>
            <w:tcW w:w="3856" w:type="dxa"/>
            <w:shd w:val="clear" w:color="auto" w:fill="F2F2F2" w:themeFill="background1" w:themeFillShade="F2"/>
            <w:noWrap/>
            <w:vAlign w:val="bottom"/>
          </w:tcPr>
          <w:p w14:paraId="03F6A9BC" w14:textId="4ED070FB" w:rsidR="00465412" w:rsidRPr="00465412" w:rsidRDefault="00465412" w:rsidP="00465412">
            <w:pPr>
              <w:pStyle w:val="TableTextLeft-Arial"/>
              <w:rPr>
                <w:szCs w:val="18"/>
                <w:highlight w:val="yellow"/>
              </w:rPr>
            </w:pPr>
            <w:r w:rsidRPr="00465412">
              <w:rPr>
                <w:szCs w:val="18"/>
              </w:rPr>
              <w:t>Mr Joseph Fayyad</w:t>
            </w:r>
          </w:p>
        </w:tc>
        <w:tc>
          <w:tcPr>
            <w:tcW w:w="3855" w:type="dxa"/>
            <w:shd w:val="clear" w:color="auto" w:fill="F2F2F2" w:themeFill="background1" w:themeFillShade="F2"/>
            <w:noWrap/>
            <w:vAlign w:val="bottom"/>
          </w:tcPr>
          <w:p w14:paraId="28DA4A3E" w14:textId="4C6DD97C" w:rsidR="00465412" w:rsidRPr="00465412" w:rsidRDefault="00465412" w:rsidP="00465412">
            <w:pPr>
              <w:pStyle w:val="TableTextLeft-Arial"/>
              <w:rPr>
                <w:szCs w:val="18"/>
                <w:highlight w:val="yellow"/>
              </w:rPr>
            </w:pPr>
            <w:r w:rsidRPr="00465412">
              <w:rPr>
                <w:szCs w:val="18"/>
              </w:rPr>
              <w:t>Ms Karen Phin</w:t>
            </w:r>
          </w:p>
        </w:tc>
      </w:tr>
      <w:tr w:rsidR="00465412" w:rsidRPr="00990E92" w14:paraId="571C6C02" w14:textId="77777777" w:rsidTr="004229F6">
        <w:trPr>
          <w:trHeight w:val="340"/>
        </w:trPr>
        <w:tc>
          <w:tcPr>
            <w:tcW w:w="3856" w:type="dxa"/>
            <w:shd w:val="clear" w:color="auto" w:fill="FFFFFF" w:themeFill="background1"/>
            <w:noWrap/>
            <w:vAlign w:val="bottom"/>
          </w:tcPr>
          <w:p w14:paraId="571C6C00" w14:textId="2128DB3C" w:rsidR="00465412" w:rsidRPr="00465412" w:rsidRDefault="00465412" w:rsidP="00465412">
            <w:pPr>
              <w:pStyle w:val="TableTextLeft-Arial"/>
              <w:rPr>
                <w:szCs w:val="18"/>
                <w:highlight w:val="yellow"/>
              </w:rPr>
            </w:pPr>
            <w:r w:rsidRPr="00465412">
              <w:rPr>
                <w:szCs w:val="18"/>
              </w:rPr>
              <w:t>Ms Marissa Freund</w:t>
            </w:r>
          </w:p>
        </w:tc>
        <w:tc>
          <w:tcPr>
            <w:tcW w:w="3855" w:type="dxa"/>
            <w:shd w:val="clear" w:color="auto" w:fill="FFFFFF" w:themeFill="background1"/>
            <w:noWrap/>
            <w:vAlign w:val="bottom"/>
          </w:tcPr>
          <w:p w14:paraId="571C6C01" w14:textId="4603C0EF" w:rsidR="00465412" w:rsidRPr="00465412" w:rsidRDefault="00465412" w:rsidP="00465412">
            <w:pPr>
              <w:pStyle w:val="TableTextLeft-Arial"/>
              <w:rPr>
                <w:szCs w:val="18"/>
                <w:highlight w:val="yellow"/>
              </w:rPr>
            </w:pPr>
            <w:r w:rsidRPr="00465412">
              <w:rPr>
                <w:szCs w:val="18"/>
              </w:rPr>
              <w:t>Ms Sarah Rennie</w:t>
            </w:r>
          </w:p>
        </w:tc>
      </w:tr>
      <w:tr w:rsidR="00465412" w:rsidRPr="00990E92" w14:paraId="10D23C5B" w14:textId="77777777" w:rsidTr="004229F6">
        <w:trPr>
          <w:trHeight w:val="340"/>
        </w:trPr>
        <w:tc>
          <w:tcPr>
            <w:tcW w:w="3856" w:type="dxa"/>
            <w:shd w:val="clear" w:color="auto" w:fill="F2F2F2" w:themeFill="background1" w:themeFillShade="F2"/>
            <w:noWrap/>
            <w:vAlign w:val="bottom"/>
          </w:tcPr>
          <w:p w14:paraId="76AD32D8" w14:textId="35E160EC" w:rsidR="00465412" w:rsidRPr="00465412" w:rsidRDefault="00465412" w:rsidP="00465412">
            <w:pPr>
              <w:pStyle w:val="TableTextLeft-Arial"/>
              <w:rPr>
                <w:szCs w:val="18"/>
                <w:highlight w:val="yellow"/>
              </w:rPr>
            </w:pPr>
            <w:r w:rsidRPr="00465412">
              <w:rPr>
                <w:szCs w:val="18"/>
              </w:rPr>
              <w:t>Mr Jonath</w:t>
            </w:r>
            <w:r w:rsidR="00955C0F">
              <w:rPr>
                <w:szCs w:val="18"/>
              </w:rPr>
              <w:t>a</w:t>
            </w:r>
            <w:r w:rsidRPr="00465412">
              <w:rPr>
                <w:szCs w:val="18"/>
              </w:rPr>
              <w:t>n Gidney</w:t>
            </w:r>
          </w:p>
        </w:tc>
        <w:tc>
          <w:tcPr>
            <w:tcW w:w="3855" w:type="dxa"/>
            <w:shd w:val="clear" w:color="auto" w:fill="F2F2F2" w:themeFill="background1" w:themeFillShade="F2"/>
            <w:noWrap/>
            <w:vAlign w:val="bottom"/>
          </w:tcPr>
          <w:p w14:paraId="6D848AEB" w14:textId="4EBD2B68" w:rsidR="00465412" w:rsidRPr="00465412" w:rsidRDefault="00465412" w:rsidP="00465412">
            <w:pPr>
              <w:pStyle w:val="TableTextLeft-Arial"/>
              <w:rPr>
                <w:szCs w:val="18"/>
                <w:highlight w:val="yellow"/>
              </w:rPr>
            </w:pPr>
            <w:r w:rsidRPr="00465412">
              <w:rPr>
                <w:szCs w:val="18"/>
              </w:rPr>
              <w:t>Mr John Sheahan KC</w:t>
            </w:r>
          </w:p>
        </w:tc>
      </w:tr>
      <w:tr w:rsidR="00465412" w:rsidRPr="00990E92" w14:paraId="571C6C05" w14:textId="77777777" w:rsidTr="004229F6">
        <w:trPr>
          <w:trHeight w:val="340"/>
        </w:trPr>
        <w:tc>
          <w:tcPr>
            <w:tcW w:w="3856" w:type="dxa"/>
            <w:shd w:val="clear" w:color="auto" w:fill="FFFFFF" w:themeFill="background1"/>
            <w:noWrap/>
            <w:vAlign w:val="bottom"/>
          </w:tcPr>
          <w:p w14:paraId="571C6C03" w14:textId="40C232B2" w:rsidR="00465412" w:rsidRPr="00465412" w:rsidRDefault="00465412" w:rsidP="00465412">
            <w:pPr>
              <w:pStyle w:val="TableTextLeft-Arial"/>
              <w:rPr>
                <w:szCs w:val="18"/>
                <w:highlight w:val="yellow"/>
              </w:rPr>
            </w:pPr>
            <w:r w:rsidRPr="00465412">
              <w:rPr>
                <w:szCs w:val="18"/>
              </w:rPr>
              <w:t>Ms Elizabeth Hallett</w:t>
            </w:r>
          </w:p>
        </w:tc>
        <w:tc>
          <w:tcPr>
            <w:tcW w:w="3855" w:type="dxa"/>
            <w:shd w:val="clear" w:color="auto" w:fill="FFFFFF" w:themeFill="background1"/>
            <w:noWrap/>
            <w:vAlign w:val="bottom"/>
          </w:tcPr>
          <w:p w14:paraId="571C6C04" w14:textId="5CA06C93" w:rsidR="00465412" w:rsidRPr="00465412" w:rsidRDefault="00465412" w:rsidP="00465412">
            <w:pPr>
              <w:pStyle w:val="TableTextLeft-Arial"/>
              <w:rPr>
                <w:szCs w:val="18"/>
                <w:highlight w:val="yellow"/>
              </w:rPr>
            </w:pPr>
            <w:r w:rsidRPr="00465412">
              <w:rPr>
                <w:szCs w:val="18"/>
              </w:rPr>
              <w:t>Mr Christopher Stavrianou</w:t>
            </w:r>
          </w:p>
        </w:tc>
      </w:tr>
      <w:tr w:rsidR="00465412" w:rsidRPr="00990E92" w14:paraId="571C6C08" w14:textId="77777777" w:rsidTr="004229F6">
        <w:trPr>
          <w:trHeight w:val="340"/>
        </w:trPr>
        <w:tc>
          <w:tcPr>
            <w:tcW w:w="3856" w:type="dxa"/>
            <w:shd w:val="clear" w:color="auto" w:fill="F2F2F2" w:themeFill="background1" w:themeFillShade="F2"/>
            <w:noWrap/>
            <w:vAlign w:val="bottom"/>
          </w:tcPr>
          <w:p w14:paraId="571C6C06" w14:textId="65FA759A" w:rsidR="00465412" w:rsidRPr="00465412" w:rsidRDefault="00465412" w:rsidP="00465412">
            <w:pPr>
              <w:pStyle w:val="TableTextLeft-Arial"/>
              <w:rPr>
                <w:szCs w:val="18"/>
                <w:highlight w:val="yellow"/>
              </w:rPr>
            </w:pPr>
            <w:r w:rsidRPr="00465412">
              <w:rPr>
                <w:szCs w:val="18"/>
              </w:rPr>
              <w:t>Ms Louise Higgins</w:t>
            </w:r>
          </w:p>
        </w:tc>
        <w:tc>
          <w:tcPr>
            <w:tcW w:w="3855" w:type="dxa"/>
            <w:shd w:val="clear" w:color="auto" w:fill="F2F2F2" w:themeFill="background1" w:themeFillShade="F2"/>
            <w:noWrap/>
            <w:vAlign w:val="bottom"/>
          </w:tcPr>
          <w:p w14:paraId="571C6C07" w14:textId="140D886F" w:rsidR="00465412" w:rsidRPr="00465412" w:rsidRDefault="00465412" w:rsidP="00465412">
            <w:pPr>
              <w:pStyle w:val="TableTextLeft-Arial"/>
              <w:rPr>
                <w:szCs w:val="18"/>
                <w:highlight w:val="yellow"/>
              </w:rPr>
            </w:pPr>
            <w:r w:rsidRPr="00465412">
              <w:rPr>
                <w:szCs w:val="18"/>
              </w:rPr>
              <w:t>Mr James Stewart</w:t>
            </w:r>
          </w:p>
        </w:tc>
      </w:tr>
      <w:tr w:rsidR="00465412" w:rsidRPr="00990E92" w14:paraId="571C6C0B" w14:textId="77777777" w:rsidTr="004229F6">
        <w:trPr>
          <w:trHeight w:val="340"/>
        </w:trPr>
        <w:tc>
          <w:tcPr>
            <w:tcW w:w="3856" w:type="dxa"/>
            <w:shd w:val="clear" w:color="auto" w:fill="FFFFFF" w:themeFill="background1"/>
            <w:noWrap/>
            <w:vAlign w:val="bottom"/>
          </w:tcPr>
          <w:p w14:paraId="571C6C09" w14:textId="029EBCFA" w:rsidR="00465412" w:rsidRPr="00465412" w:rsidRDefault="00465412" w:rsidP="00465412">
            <w:pPr>
              <w:pStyle w:val="TableTextLeft-Arial"/>
              <w:rPr>
                <w:szCs w:val="18"/>
                <w:highlight w:val="yellow"/>
              </w:rPr>
            </w:pPr>
            <w:r w:rsidRPr="00465412">
              <w:rPr>
                <w:szCs w:val="18"/>
              </w:rPr>
              <w:t>Dr Ruth Higgins SC</w:t>
            </w:r>
          </w:p>
        </w:tc>
        <w:tc>
          <w:tcPr>
            <w:tcW w:w="3855" w:type="dxa"/>
            <w:shd w:val="clear" w:color="auto" w:fill="FFFFFF" w:themeFill="background1"/>
            <w:noWrap/>
            <w:vAlign w:val="bottom"/>
          </w:tcPr>
          <w:p w14:paraId="571C6C0A" w14:textId="72DB4932" w:rsidR="00465412" w:rsidRPr="00465412" w:rsidRDefault="00465412" w:rsidP="00465412">
            <w:pPr>
              <w:pStyle w:val="TableTextLeft-Arial"/>
              <w:rPr>
                <w:szCs w:val="18"/>
                <w:highlight w:val="yellow"/>
              </w:rPr>
            </w:pPr>
            <w:r w:rsidRPr="00465412">
              <w:rPr>
                <w:szCs w:val="18"/>
              </w:rPr>
              <w:t>Ms Philippa Stone</w:t>
            </w:r>
          </w:p>
        </w:tc>
      </w:tr>
      <w:tr w:rsidR="00465412" w:rsidRPr="00990E92" w14:paraId="571C6C0E" w14:textId="77777777" w:rsidTr="004229F6">
        <w:trPr>
          <w:trHeight w:val="340"/>
        </w:trPr>
        <w:tc>
          <w:tcPr>
            <w:tcW w:w="3856" w:type="dxa"/>
            <w:shd w:val="clear" w:color="auto" w:fill="F2F2F2" w:themeFill="background1" w:themeFillShade="F2"/>
            <w:noWrap/>
            <w:vAlign w:val="bottom"/>
          </w:tcPr>
          <w:p w14:paraId="571C6C0C" w14:textId="01C5D35A" w:rsidR="00465412" w:rsidRPr="00465412" w:rsidRDefault="00465412" w:rsidP="00465412">
            <w:pPr>
              <w:pStyle w:val="TableTextLeft-Arial"/>
              <w:rPr>
                <w:szCs w:val="18"/>
                <w:highlight w:val="yellow"/>
              </w:rPr>
            </w:pPr>
            <w:r w:rsidRPr="00465412">
              <w:rPr>
                <w:szCs w:val="18"/>
              </w:rPr>
              <w:t>Ms Michelle Jablko</w:t>
            </w:r>
          </w:p>
        </w:tc>
        <w:tc>
          <w:tcPr>
            <w:tcW w:w="3855" w:type="dxa"/>
            <w:shd w:val="clear" w:color="auto" w:fill="F2F2F2" w:themeFill="background1" w:themeFillShade="F2"/>
            <w:noWrap/>
            <w:vAlign w:val="bottom"/>
          </w:tcPr>
          <w:p w14:paraId="571C6C0D" w14:textId="33FEAE1A" w:rsidR="00465412" w:rsidRPr="00465412" w:rsidRDefault="00465412" w:rsidP="00465412">
            <w:pPr>
              <w:pStyle w:val="TableTextLeft-Arial"/>
              <w:rPr>
                <w:szCs w:val="18"/>
                <w:highlight w:val="yellow"/>
              </w:rPr>
            </w:pPr>
            <w:r w:rsidRPr="00465412">
              <w:rPr>
                <w:szCs w:val="18"/>
              </w:rPr>
              <w:t>Ms Erin Tinker</w:t>
            </w:r>
          </w:p>
        </w:tc>
      </w:tr>
      <w:tr w:rsidR="00465412" w:rsidRPr="00990E92" w14:paraId="54ACDEA5" w14:textId="77777777" w:rsidTr="004229F6">
        <w:trPr>
          <w:trHeight w:val="340"/>
        </w:trPr>
        <w:tc>
          <w:tcPr>
            <w:tcW w:w="3856" w:type="dxa"/>
            <w:shd w:val="clear" w:color="auto" w:fill="FFFFFF" w:themeFill="background1"/>
            <w:noWrap/>
            <w:vAlign w:val="bottom"/>
          </w:tcPr>
          <w:p w14:paraId="2E76B10F" w14:textId="14AC68F5" w:rsidR="00465412" w:rsidRPr="00465412" w:rsidRDefault="00465412" w:rsidP="00465412">
            <w:pPr>
              <w:pStyle w:val="TableTextLeft-Arial"/>
              <w:rPr>
                <w:szCs w:val="18"/>
                <w:highlight w:val="yellow"/>
              </w:rPr>
            </w:pPr>
            <w:r w:rsidRPr="00465412">
              <w:rPr>
                <w:szCs w:val="18"/>
              </w:rPr>
              <w:t>Mr Christian Johnston</w:t>
            </w:r>
          </w:p>
        </w:tc>
        <w:tc>
          <w:tcPr>
            <w:tcW w:w="3855" w:type="dxa"/>
            <w:shd w:val="clear" w:color="auto" w:fill="FFFFFF" w:themeFill="background1"/>
            <w:noWrap/>
            <w:vAlign w:val="bottom"/>
          </w:tcPr>
          <w:p w14:paraId="1A734F10" w14:textId="6FFF92D1" w:rsidR="00465412" w:rsidRPr="00465412" w:rsidRDefault="00465412" w:rsidP="00465412">
            <w:pPr>
              <w:pStyle w:val="TableTextLeft-Arial"/>
              <w:rPr>
                <w:szCs w:val="18"/>
                <w:highlight w:val="yellow"/>
              </w:rPr>
            </w:pPr>
            <w:r w:rsidRPr="00465412">
              <w:rPr>
                <w:szCs w:val="18"/>
              </w:rPr>
              <w:t>Ms Kate Towey</w:t>
            </w:r>
          </w:p>
        </w:tc>
      </w:tr>
      <w:tr w:rsidR="00465412" w:rsidRPr="00990E92" w14:paraId="15857598" w14:textId="77777777" w:rsidTr="004229F6">
        <w:trPr>
          <w:trHeight w:val="340"/>
        </w:trPr>
        <w:tc>
          <w:tcPr>
            <w:tcW w:w="3856" w:type="dxa"/>
            <w:shd w:val="clear" w:color="auto" w:fill="F2F2F2" w:themeFill="background1" w:themeFillShade="F2"/>
            <w:noWrap/>
            <w:vAlign w:val="bottom"/>
          </w:tcPr>
          <w:p w14:paraId="7E2DCAB8" w14:textId="178F54FC" w:rsidR="00465412" w:rsidRPr="00465412" w:rsidRDefault="00465412" w:rsidP="00465412">
            <w:pPr>
              <w:pStyle w:val="TableTextLeft-Arial"/>
              <w:rPr>
                <w:szCs w:val="18"/>
                <w:highlight w:val="yellow"/>
              </w:rPr>
            </w:pPr>
            <w:r w:rsidRPr="00465412">
              <w:rPr>
                <w:szCs w:val="18"/>
              </w:rPr>
              <w:t>Ms Kristen Jung</w:t>
            </w:r>
          </w:p>
        </w:tc>
        <w:tc>
          <w:tcPr>
            <w:tcW w:w="3855" w:type="dxa"/>
            <w:shd w:val="clear" w:color="auto" w:fill="F2F2F2" w:themeFill="background1" w:themeFillShade="F2"/>
            <w:noWrap/>
            <w:vAlign w:val="bottom"/>
          </w:tcPr>
          <w:p w14:paraId="3DC6FA84" w14:textId="7737FFBC" w:rsidR="00465412" w:rsidRPr="00465412" w:rsidRDefault="00465412" w:rsidP="00465412">
            <w:pPr>
              <w:pStyle w:val="TableTextLeft-Arial"/>
              <w:rPr>
                <w:szCs w:val="18"/>
                <w:highlight w:val="yellow"/>
              </w:rPr>
            </w:pPr>
            <w:r w:rsidRPr="00465412">
              <w:rPr>
                <w:szCs w:val="18"/>
              </w:rPr>
              <w:t>Ms Georgina Varley</w:t>
            </w:r>
          </w:p>
        </w:tc>
      </w:tr>
      <w:tr w:rsidR="00465412" w:rsidRPr="00990E92" w14:paraId="571C6C11" w14:textId="77777777" w:rsidTr="004229F6">
        <w:trPr>
          <w:trHeight w:val="340"/>
        </w:trPr>
        <w:tc>
          <w:tcPr>
            <w:tcW w:w="3856" w:type="dxa"/>
            <w:shd w:val="clear" w:color="auto" w:fill="FFFFFF" w:themeFill="background1"/>
            <w:noWrap/>
            <w:vAlign w:val="bottom"/>
          </w:tcPr>
          <w:p w14:paraId="571C6C0F" w14:textId="494FEDD1" w:rsidR="00465412" w:rsidRPr="00465412" w:rsidRDefault="00465412" w:rsidP="00465412">
            <w:pPr>
              <w:pStyle w:val="TableTextLeft-Arial"/>
              <w:rPr>
                <w:szCs w:val="18"/>
                <w:highlight w:val="yellow"/>
              </w:rPr>
            </w:pPr>
            <w:r w:rsidRPr="00465412">
              <w:rPr>
                <w:szCs w:val="18"/>
              </w:rPr>
              <w:t>Ms Marina Kelman</w:t>
            </w:r>
          </w:p>
        </w:tc>
        <w:tc>
          <w:tcPr>
            <w:tcW w:w="3855" w:type="dxa"/>
            <w:shd w:val="clear" w:color="auto" w:fill="FFFFFF" w:themeFill="background1"/>
            <w:noWrap/>
            <w:vAlign w:val="bottom"/>
          </w:tcPr>
          <w:p w14:paraId="571C6C10" w14:textId="6B5ADB81" w:rsidR="00465412" w:rsidRPr="00465412" w:rsidRDefault="00465412" w:rsidP="00465412">
            <w:pPr>
              <w:pStyle w:val="TableTextLeft-Arial"/>
              <w:rPr>
                <w:szCs w:val="18"/>
                <w:highlight w:val="yellow"/>
              </w:rPr>
            </w:pPr>
            <w:r w:rsidRPr="00465412">
              <w:rPr>
                <w:szCs w:val="18"/>
              </w:rPr>
              <w:t>Ms Nicola Wakefield Evans</w:t>
            </w:r>
          </w:p>
        </w:tc>
      </w:tr>
    </w:tbl>
    <w:p w14:paraId="37ADF11D" w14:textId="77777777" w:rsidR="008F335E" w:rsidRPr="00990E92" w:rsidRDefault="008F335E" w:rsidP="00286051">
      <w:pPr>
        <w:rPr>
          <w:highlight w:val="yellow"/>
        </w:rPr>
      </w:pPr>
      <w:bookmarkStart w:id="466" w:name="_Toc204589526"/>
      <w:r w:rsidRPr="00990E92">
        <w:rPr>
          <w:highlight w:val="yellow"/>
        </w:rPr>
        <w:br w:type="page"/>
      </w:r>
    </w:p>
    <w:p w14:paraId="571C6C18" w14:textId="349A0EC0" w:rsidR="006555DE" w:rsidRPr="00452D0E" w:rsidRDefault="00CC73CE" w:rsidP="00B46724">
      <w:pPr>
        <w:pStyle w:val="TableMainHeading"/>
        <w:spacing w:before="280"/>
      </w:pPr>
      <w:bookmarkStart w:id="467" w:name="_Toc146790818"/>
      <w:r w:rsidRPr="00452D0E">
        <w:lastRenderedPageBreak/>
        <w:t>Table </w:t>
      </w:r>
      <w:r w:rsidR="000D7F85" w:rsidRPr="00452D0E">
        <w:t>1</w:t>
      </w:r>
      <w:r w:rsidR="002D2C29">
        <w:t>0</w:t>
      </w:r>
      <w:r w:rsidR="00222C5B" w:rsidRPr="00452D0E">
        <w:t xml:space="preserve">: </w:t>
      </w:r>
      <w:r w:rsidR="007A742C" w:rsidRPr="00452D0E">
        <w:t>M</w:t>
      </w:r>
      <w:r w:rsidR="006555DE" w:rsidRPr="00452D0E">
        <w:t>embers appointed to the Panel in 20</w:t>
      </w:r>
      <w:r w:rsidR="006108C2" w:rsidRPr="00452D0E">
        <w:t>2</w:t>
      </w:r>
      <w:bookmarkEnd w:id="466"/>
      <w:r w:rsidR="00B25010">
        <w:t>3</w:t>
      </w:r>
      <w:r w:rsidR="00550FAF" w:rsidRPr="00452D0E">
        <w:t>–</w:t>
      </w:r>
      <w:r w:rsidR="00AA572E" w:rsidRPr="00452D0E">
        <w:t>2</w:t>
      </w:r>
      <w:bookmarkEnd w:id="467"/>
      <w:r w:rsidR="00B25010">
        <w:t>4</w:t>
      </w:r>
    </w:p>
    <w:tbl>
      <w:tblPr>
        <w:tblW w:w="5000" w:type="pct"/>
        <w:tblInd w:w="-4" w:type="dxa"/>
        <w:tblBorders>
          <w:top w:val="single" w:sz="4" w:space="0" w:color="0E406A" w:themeColor="accent1"/>
          <w:bottom w:val="single" w:sz="4" w:space="0" w:color="0E406A" w:themeColor="accent1"/>
        </w:tblBorders>
        <w:tblLayout w:type="fixed"/>
        <w:tblLook w:val="0000" w:firstRow="0" w:lastRow="0" w:firstColumn="0" w:lastColumn="0" w:noHBand="0" w:noVBand="0"/>
      </w:tblPr>
      <w:tblGrid>
        <w:gridCol w:w="3863"/>
        <w:gridCol w:w="3848"/>
      </w:tblGrid>
      <w:tr w:rsidR="00B72E87" w:rsidRPr="00452D0E" w14:paraId="571C6C1B" w14:textId="77777777" w:rsidTr="00452D0E">
        <w:trPr>
          <w:trHeight w:hRule="exact" w:val="340"/>
        </w:trPr>
        <w:tc>
          <w:tcPr>
            <w:tcW w:w="3863" w:type="dxa"/>
            <w:shd w:val="clear" w:color="auto" w:fill="F2F2F2" w:themeFill="background1" w:themeFillShade="F2"/>
          </w:tcPr>
          <w:p w14:paraId="571C6C19" w14:textId="5FBC97D2" w:rsidR="00B72E87" w:rsidRPr="00452D0E" w:rsidRDefault="00452D0E" w:rsidP="00286051">
            <w:pPr>
              <w:pStyle w:val="TableTextLeft-Arial"/>
            </w:pPr>
            <w:r w:rsidRPr="00452D0E">
              <w:t>Mr Kierin Deeming</w:t>
            </w:r>
          </w:p>
        </w:tc>
        <w:tc>
          <w:tcPr>
            <w:tcW w:w="3848" w:type="dxa"/>
            <w:shd w:val="clear" w:color="auto" w:fill="F2F2F2" w:themeFill="background1" w:themeFillShade="F2"/>
          </w:tcPr>
          <w:p w14:paraId="571C6C1A" w14:textId="15C5E3A1" w:rsidR="00B72E87" w:rsidRPr="00452D0E" w:rsidRDefault="00452D0E" w:rsidP="00286051">
            <w:pPr>
              <w:pStyle w:val="TableTextLeft-Arial"/>
            </w:pPr>
            <w:r w:rsidRPr="00452D0E">
              <w:t>Mr Richard Phillips</w:t>
            </w:r>
          </w:p>
        </w:tc>
      </w:tr>
      <w:tr w:rsidR="00B72E87" w:rsidRPr="00452D0E" w14:paraId="571C6C1E" w14:textId="77777777" w:rsidTr="00452D0E">
        <w:trPr>
          <w:trHeight w:hRule="exact" w:val="340"/>
        </w:trPr>
        <w:tc>
          <w:tcPr>
            <w:tcW w:w="3863" w:type="dxa"/>
          </w:tcPr>
          <w:p w14:paraId="571C6C1C" w14:textId="77CDD572" w:rsidR="00B72E87" w:rsidRPr="00452D0E" w:rsidRDefault="00452D0E" w:rsidP="00286051">
            <w:pPr>
              <w:pStyle w:val="TableTextLeft-Arial"/>
            </w:pPr>
            <w:r w:rsidRPr="00452D0E">
              <w:t>Ms Katrina Efthim</w:t>
            </w:r>
          </w:p>
        </w:tc>
        <w:tc>
          <w:tcPr>
            <w:tcW w:w="3848" w:type="dxa"/>
          </w:tcPr>
          <w:p w14:paraId="571C6C1D" w14:textId="23395DA3" w:rsidR="00B72E87" w:rsidRPr="00452D0E" w:rsidRDefault="00452D0E" w:rsidP="00286051">
            <w:pPr>
              <w:pStyle w:val="TableTextLeft-Arial"/>
            </w:pPr>
            <w:r w:rsidRPr="00452D0E">
              <w:t>Mr Christopher Stavrianou</w:t>
            </w:r>
          </w:p>
        </w:tc>
      </w:tr>
      <w:tr w:rsidR="00FA029E" w:rsidRPr="00452D0E" w14:paraId="79586B16" w14:textId="77777777" w:rsidTr="00452D0E">
        <w:trPr>
          <w:trHeight w:hRule="exact" w:val="340"/>
        </w:trPr>
        <w:tc>
          <w:tcPr>
            <w:tcW w:w="3863" w:type="dxa"/>
            <w:shd w:val="clear" w:color="auto" w:fill="F2F2F2" w:themeFill="background1" w:themeFillShade="F2"/>
          </w:tcPr>
          <w:p w14:paraId="22A78301" w14:textId="6E56207B" w:rsidR="00FA029E" w:rsidRPr="00452D0E" w:rsidRDefault="00452D0E" w:rsidP="00286051">
            <w:pPr>
              <w:pStyle w:val="TableTextLeft-Arial"/>
            </w:pPr>
            <w:r w:rsidRPr="00452D0E">
              <w:t>Mr Jo</w:t>
            </w:r>
            <w:r w:rsidR="00B25010">
              <w:t>nathan</w:t>
            </w:r>
            <w:r w:rsidRPr="00452D0E">
              <w:t xml:space="preserve"> Gidney</w:t>
            </w:r>
          </w:p>
        </w:tc>
        <w:tc>
          <w:tcPr>
            <w:tcW w:w="3848" w:type="dxa"/>
            <w:shd w:val="clear" w:color="auto" w:fill="F2F2F2" w:themeFill="background1" w:themeFillShade="F2"/>
          </w:tcPr>
          <w:p w14:paraId="0F598BE4" w14:textId="22A56A21" w:rsidR="001B7BCD" w:rsidRPr="00452D0E" w:rsidRDefault="00452D0E" w:rsidP="00286051">
            <w:pPr>
              <w:pStyle w:val="TableTextLeft-Arial"/>
            </w:pPr>
            <w:r w:rsidRPr="00452D0E">
              <w:t>Ms Georgina Varley</w:t>
            </w:r>
          </w:p>
        </w:tc>
      </w:tr>
      <w:tr w:rsidR="00836C04" w:rsidRPr="00990E92" w14:paraId="7CCD9186" w14:textId="77777777" w:rsidTr="00452D0E">
        <w:trPr>
          <w:trHeight w:hRule="exact" w:val="340"/>
        </w:trPr>
        <w:tc>
          <w:tcPr>
            <w:tcW w:w="3863" w:type="dxa"/>
            <w:shd w:val="clear" w:color="auto" w:fill="FFFFFF" w:themeFill="background1"/>
          </w:tcPr>
          <w:p w14:paraId="461DC1A2" w14:textId="110B567B" w:rsidR="00836C04" w:rsidRPr="00452D0E" w:rsidRDefault="00452D0E" w:rsidP="00286051">
            <w:pPr>
              <w:pStyle w:val="TableTextLeft-Arial"/>
            </w:pPr>
            <w:r w:rsidRPr="00452D0E">
              <w:t>Ms Reeny Paraskeva</w:t>
            </w:r>
          </w:p>
        </w:tc>
        <w:tc>
          <w:tcPr>
            <w:tcW w:w="3848" w:type="dxa"/>
            <w:shd w:val="clear" w:color="auto" w:fill="FFFFFF" w:themeFill="background1"/>
          </w:tcPr>
          <w:p w14:paraId="7E9A3419" w14:textId="1D644000" w:rsidR="00836C04" w:rsidRPr="00452D0E" w:rsidRDefault="00836C04" w:rsidP="00286051">
            <w:pPr>
              <w:pStyle w:val="TableTextLeft-Arial"/>
            </w:pPr>
          </w:p>
        </w:tc>
      </w:tr>
    </w:tbl>
    <w:p w14:paraId="571C6C22" w14:textId="022B5D35" w:rsidR="006555DE" w:rsidRPr="00452D0E" w:rsidRDefault="00CC73CE" w:rsidP="00B46724">
      <w:pPr>
        <w:pStyle w:val="TableMainHeading"/>
        <w:spacing w:before="280"/>
      </w:pPr>
      <w:bookmarkStart w:id="468" w:name="_Toc204589527"/>
      <w:bookmarkStart w:id="469" w:name="_Toc146790819"/>
      <w:r w:rsidRPr="00452D0E">
        <w:t>Table </w:t>
      </w:r>
      <w:r w:rsidR="00222C5B" w:rsidRPr="00452D0E">
        <w:t>1</w:t>
      </w:r>
      <w:r w:rsidR="002D2C29">
        <w:t>1</w:t>
      </w:r>
      <w:r w:rsidR="00222C5B" w:rsidRPr="00452D0E">
        <w:t xml:space="preserve">: </w:t>
      </w:r>
      <w:r w:rsidR="006555DE" w:rsidRPr="00452D0E">
        <w:t>Members who ceased their membership of the Panel in 20</w:t>
      </w:r>
      <w:r w:rsidR="006108C2" w:rsidRPr="00452D0E">
        <w:t>2</w:t>
      </w:r>
      <w:bookmarkEnd w:id="468"/>
      <w:r w:rsidR="00B25010">
        <w:t>3</w:t>
      </w:r>
      <w:r w:rsidR="00550FAF" w:rsidRPr="00452D0E">
        <w:t>–</w:t>
      </w:r>
      <w:r w:rsidR="00AA572E" w:rsidRPr="00452D0E">
        <w:t>2</w:t>
      </w:r>
      <w:bookmarkEnd w:id="469"/>
      <w:r w:rsidR="00B25010">
        <w:t>4</w:t>
      </w:r>
    </w:p>
    <w:tbl>
      <w:tblPr>
        <w:tblW w:w="5000" w:type="pct"/>
        <w:tblInd w:w="-4" w:type="dxa"/>
        <w:tblBorders>
          <w:top w:val="single" w:sz="4" w:space="0" w:color="0E406A" w:themeColor="accent1"/>
          <w:bottom w:val="single" w:sz="4" w:space="0" w:color="0E406A" w:themeColor="accent1"/>
        </w:tblBorders>
        <w:shd w:val="clear" w:color="auto" w:fill="F2F2F2" w:themeFill="background1" w:themeFillShade="F2"/>
        <w:tblLayout w:type="fixed"/>
        <w:tblLook w:val="0000" w:firstRow="0" w:lastRow="0" w:firstColumn="0" w:lastColumn="0" w:noHBand="0" w:noVBand="0"/>
      </w:tblPr>
      <w:tblGrid>
        <w:gridCol w:w="3863"/>
        <w:gridCol w:w="3848"/>
      </w:tblGrid>
      <w:tr w:rsidR="00B72E87" w:rsidRPr="00452D0E" w14:paraId="571C6C25" w14:textId="77777777" w:rsidTr="00FE21F0">
        <w:trPr>
          <w:trHeight w:hRule="exact" w:val="340"/>
        </w:trPr>
        <w:tc>
          <w:tcPr>
            <w:tcW w:w="3863" w:type="dxa"/>
            <w:shd w:val="clear" w:color="auto" w:fill="F2F2F2" w:themeFill="background1" w:themeFillShade="F2"/>
          </w:tcPr>
          <w:p w14:paraId="571C6C23" w14:textId="345F7A02" w:rsidR="00B72E87" w:rsidRPr="00452D0E" w:rsidRDefault="00452D0E" w:rsidP="00286051">
            <w:pPr>
              <w:pStyle w:val="TableTextLeft-Arial"/>
            </w:pPr>
            <w:r w:rsidRPr="00452D0E">
              <w:t>Mr Richard Hunt</w:t>
            </w:r>
          </w:p>
        </w:tc>
        <w:tc>
          <w:tcPr>
            <w:tcW w:w="3848" w:type="dxa"/>
            <w:shd w:val="clear" w:color="auto" w:fill="F2F2F2" w:themeFill="background1" w:themeFillShade="F2"/>
          </w:tcPr>
          <w:p w14:paraId="571C6C24" w14:textId="720BB3B9" w:rsidR="00B72E87" w:rsidRPr="00452D0E" w:rsidRDefault="00452D0E" w:rsidP="00286051">
            <w:pPr>
              <w:pStyle w:val="TableTextLeft-Arial"/>
            </w:pPr>
            <w:r w:rsidRPr="00452D0E">
              <w:t>Mr John O</w:t>
            </w:r>
            <w:r w:rsidR="008941F8">
              <w:t>’</w:t>
            </w:r>
            <w:r w:rsidRPr="00452D0E">
              <w:t>Sullivan</w:t>
            </w:r>
          </w:p>
        </w:tc>
      </w:tr>
      <w:tr w:rsidR="008D365A" w:rsidRPr="00452D0E" w14:paraId="33D72375" w14:textId="77777777" w:rsidTr="00FE21F0">
        <w:trPr>
          <w:trHeight w:hRule="exact" w:val="340"/>
        </w:trPr>
        <w:tc>
          <w:tcPr>
            <w:tcW w:w="3863" w:type="dxa"/>
            <w:shd w:val="clear" w:color="auto" w:fill="FFFFFF" w:themeFill="background1"/>
          </w:tcPr>
          <w:p w14:paraId="34732F04" w14:textId="6C7942E4" w:rsidR="008D365A" w:rsidRPr="00452D0E" w:rsidRDefault="00452D0E" w:rsidP="00286051">
            <w:pPr>
              <w:pStyle w:val="TableTextLeft-Arial"/>
            </w:pPr>
            <w:r w:rsidRPr="00452D0E">
              <w:t>Ms Tracey Horton AO</w:t>
            </w:r>
          </w:p>
        </w:tc>
        <w:tc>
          <w:tcPr>
            <w:tcW w:w="3848" w:type="dxa"/>
            <w:shd w:val="clear" w:color="auto" w:fill="FFFFFF" w:themeFill="background1"/>
          </w:tcPr>
          <w:p w14:paraId="41DF6FF7" w14:textId="51B81553" w:rsidR="008D365A" w:rsidRPr="00452D0E" w:rsidRDefault="00452D0E" w:rsidP="00286051">
            <w:pPr>
              <w:pStyle w:val="TableTextLeft-Arial"/>
            </w:pPr>
            <w:r w:rsidRPr="00452D0E">
              <w:t>Mr Tony Osmond</w:t>
            </w:r>
          </w:p>
        </w:tc>
      </w:tr>
      <w:tr w:rsidR="008F335E" w:rsidRPr="00452D0E" w14:paraId="5154DC5B" w14:textId="77777777" w:rsidTr="00FE21F0">
        <w:trPr>
          <w:trHeight w:hRule="exact" w:val="340"/>
        </w:trPr>
        <w:tc>
          <w:tcPr>
            <w:tcW w:w="3863" w:type="dxa"/>
            <w:shd w:val="clear" w:color="auto" w:fill="F2F2F2" w:themeFill="background1" w:themeFillShade="F2"/>
          </w:tcPr>
          <w:p w14:paraId="1C0530EE" w14:textId="0D8038EA" w:rsidR="008F335E" w:rsidRPr="00452D0E" w:rsidRDefault="00452D0E" w:rsidP="00286051">
            <w:pPr>
              <w:pStyle w:val="TableTextLeft-Arial"/>
            </w:pPr>
            <w:r w:rsidRPr="00452D0E">
              <w:t>Mr Bill Koeck</w:t>
            </w:r>
          </w:p>
        </w:tc>
        <w:tc>
          <w:tcPr>
            <w:tcW w:w="3848" w:type="dxa"/>
            <w:shd w:val="clear" w:color="auto" w:fill="F2F2F2" w:themeFill="background1" w:themeFillShade="F2"/>
          </w:tcPr>
          <w:p w14:paraId="0E32E3AB" w14:textId="7BC3A41B" w:rsidR="008F335E" w:rsidRPr="00452D0E" w:rsidRDefault="00452D0E" w:rsidP="00286051">
            <w:pPr>
              <w:pStyle w:val="TableTextLeft-Arial"/>
            </w:pPr>
            <w:r w:rsidRPr="00452D0E">
              <w:t>Ms Sharon Warburton</w:t>
            </w:r>
          </w:p>
        </w:tc>
      </w:tr>
      <w:tr w:rsidR="008F335E" w:rsidRPr="009014AA" w14:paraId="7B6D19BB" w14:textId="77777777" w:rsidTr="00FE21F0">
        <w:trPr>
          <w:trHeight w:hRule="exact" w:val="340"/>
        </w:trPr>
        <w:tc>
          <w:tcPr>
            <w:tcW w:w="3863" w:type="dxa"/>
            <w:shd w:val="clear" w:color="auto" w:fill="FFFFFF" w:themeFill="background1"/>
          </w:tcPr>
          <w:p w14:paraId="014DD17B" w14:textId="0F710B39" w:rsidR="008F335E" w:rsidRPr="00452D0E" w:rsidRDefault="00452D0E" w:rsidP="00286051">
            <w:pPr>
              <w:pStyle w:val="TableTextLeft-Arial"/>
            </w:pPr>
            <w:r w:rsidRPr="00452D0E">
              <w:t>Mr Ron Malek</w:t>
            </w:r>
          </w:p>
        </w:tc>
        <w:tc>
          <w:tcPr>
            <w:tcW w:w="3848" w:type="dxa"/>
            <w:shd w:val="clear" w:color="auto" w:fill="FFFFFF" w:themeFill="background1"/>
          </w:tcPr>
          <w:p w14:paraId="216A05CC" w14:textId="1D3E7F5E" w:rsidR="008F335E" w:rsidRPr="009014AA" w:rsidRDefault="008F335E" w:rsidP="00286051">
            <w:pPr>
              <w:pStyle w:val="TableTextLeft-Arial"/>
            </w:pPr>
          </w:p>
        </w:tc>
      </w:tr>
    </w:tbl>
    <w:p w14:paraId="2782F328" w14:textId="77777777" w:rsidR="008F335E" w:rsidRPr="00286051" w:rsidRDefault="008F335E" w:rsidP="00286051"/>
    <w:p w14:paraId="055CAF2F" w14:textId="6B7CA2EB" w:rsidR="008F335E" w:rsidRPr="00286051" w:rsidRDefault="008F335E" w:rsidP="00286051">
      <w:pPr>
        <w:sectPr w:rsidR="008F335E" w:rsidRPr="00286051" w:rsidSect="00666211">
          <w:headerReference w:type="even" r:id="rId57"/>
          <w:headerReference w:type="default" r:id="rId58"/>
          <w:footerReference w:type="even" r:id="rId59"/>
          <w:footerReference w:type="default" r:id="rId60"/>
          <w:headerReference w:type="first" r:id="rId61"/>
          <w:footerReference w:type="first" r:id="rId62"/>
          <w:pgSz w:w="11907" w:h="16840" w:code="9"/>
          <w:pgMar w:top="2466" w:right="2098" w:bottom="2466" w:left="2098" w:header="1899" w:footer="1899" w:gutter="0"/>
          <w:pgBorders w:offsetFrom="page">
            <w:bottom w:val="single" w:sz="2" w:space="24" w:color="1F497D" w:themeColor="text2"/>
          </w:pgBorders>
          <w:cols w:space="720"/>
          <w:docGrid w:linePitch="299"/>
        </w:sectPr>
      </w:pPr>
    </w:p>
    <w:p w14:paraId="2A500B6D" w14:textId="3E901112" w:rsidR="00E67461" w:rsidRPr="009448D8" w:rsidRDefault="00CC73CE" w:rsidP="00382254">
      <w:pPr>
        <w:pStyle w:val="Heading1"/>
        <w:rPr>
          <w:highlight w:val="lightGray"/>
        </w:rPr>
      </w:pPr>
      <w:bookmarkStart w:id="470" w:name="_Toc362608089"/>
      <w:bookmarkStart w:id="471" w:name="_Toc83997068"/>
      <w:bookmarkStart w:id="472" w:name="_Toc174632418"/>
      <w:r>
        <w:lastRenderedPageBreak/>
        <w:t>Appendix </w:t>
      </w:r>
      <w:r w:rsidR="00E67461" w:rsidRPr="00E131B3">
        <w:t>2</w:t>
      </w:r>
      <w:r w:rsidR="00CD2FE5">
        <w:t xml:space="preserve"> – </w:t>
      </w:r>
      <w:r w:rsidR="00E67461" w:rsidRPr="00E131B3">
        <w:t>Sub</w:t>
      </w:r>
      <w:r w:rsidR="008941F8">
        <w:noBreakHyphen/>
      </w:r>
      <w:r w:rsidR="00E67461" w:rsidRPr="00E131B3">
        <w:t>committee members</w:t>
      </w:r>
      <w:bookmarkEnd w:id="470"/>
      <w:bookmarkEnd w:id="471"/>
      <w:bookmarkEnd w:id="472"/>
    </w:p>
    <w:p w14:paraId="07151C94" w14:textId="5BF33DB5" w:rsidR="00E67461" w:rsidRPr="00326C28" w:rsidRDefault="00CC73CE" w:rsidP="00E67461">
      <w:pPr>
        <w:pStyle w:val="TableMainHeading"/>
      </w:pPr>
      <w:bookmarkStart w:id="473" w:name="_Toc143340638"/>
      <w:bookmarkStart w:id="474" w:name="_Toc176854667"/>
      <w:bookmarkStart w:id="475" w:name="_Toc204589529"/>
      <w:bookmarkStart w:id="476" w:name="_Toc207510588"/>
      <w:bookmarkStart w:id="477" w:name="_Toc304279720"/>
      <w:bookmarkStart w:id="478" w:name="_Toc83997083"/>
      <w:bookmarkStart w:id="479" w:name="_Toc146790820"/>
      <w:r w:rsidRPr="00326C28">
        <w:t>Table </w:t>
      </w:r>
      <w:r w:rsidR="00E67461" w:rsidRPr="00326C28">
        <w:t>1</w:t>
      </w:r>
      <w:r w:rsidR="002D2C29">
        <w:t>2</w:t>
      </w:r>
      <w:r w:rsidR="00E67461" w:rsidRPr="00326C28">
        <w:t>: Sub</w:t>
      </w:r>
      <w:r w:rsidR="008941F8">
        <w:noBreakHyphen/>
      </w:r>
      <w:r w:rsidR="00E67461" w:rsidRPr="00326C28">
        <w:t>committees</w:t>
      </w:r>
      <w:bookmarkEnd w:id="473"/>
      <w:bookmarkEnd w:id="474"/>
      <w:bookmarkEnd w:id="475"/>
      <w:bookmarkEnd w:id="476"/>
      <w:bookmarkEnd w:id="477"/>
      <w:bookmarkEnd w:id="478"/>
      <w:bookmarkEnd w:id="479"/>
      <w:r w:rsidR="00E67461" w:rsidRPr="00326C28">
        <w:fldChar w:fldCharType="begin"/>
      </w:r>
      <w:r w:rsidR="00E67461" w:rsidRPr="00326C28">
        <w:instrText>xe "Sub-committee members"</w:instrText>
      </w:r>
      <w:r w:rsidR="00E67461" w:rsidRPr="00326C28">
        <w:fldChar w:fldCharType="end"/>
      </w:r>
    </w:p>
    <w:tbl>
      <w:tblPr>
        <w:tblStyle w:val="TP-ARBanded"/>
        <w:tblW w:w="5000" w:type="pct"/>
        <w:tblLayout w:type="fixed"/>
        <w:tblLook w:val="0420" w:firstRow="1" w:lastRow="0" w:firstColumn="0" w:lastColumn="0" w:noHBand="0" w:noVBand="1"/>
      </w:tblPr>
      <w:tblGrid>
        <w:gridCol w:w="2558"/>
        <w:gridCol w:w="2829"/>
        <w:gridCol w:w="2324"/>
      </w:tblGrid>
      <w:tr w:rsidR="00E67461" w:rsidRPr="00326C28" w14:paraId="6F24A5FB" w14:textId="77777777" w:rsidTr="00986FDF">
        <w:trPr>
          <w:cnfStyle w:val="100000000000" w:firstRow="1" w:lastRow="0" w:firstColumn="0" w:lastColumn="0" w:oddVBand="0" w:evenVBand="0" w:oddHBand="0" w:evenHBand="0" w:firstRowFirstColumn="0" w:firstRowLastColumn="0" w:lastRowFirstColumn="0" w:lastRowLastColumn="0"/>
          <w:tblHeader/>
        </w:trPr>
        <w:tc>
          <w:tcPr>
            <w:tcW w:w="2558" w:type="dxa"/>
            <w:vMerge w:val="restart"/>
          </w:tcPr>
          <w:p w14:paraId="4FF5FE8E" w14:textId="77777777" w:rsidR="00E67461" w:rsidRPr="00326C28" w:rsidRDefault="00E67461" w:rsidP="00286051">
            <w:pPr>
              <w:pStyle w:val="TableColumnHeadingLeft"/>
            </w:pPr>
            <w:r w:rsidRPr="00326C28">
              <w:t>Topic</w:t>
            </w:r>
          </w:p>
        </w:tc>
        <w:tc>
          <w:tcPr>
            <w:tcW w:w="5153" w:type="dxa"/>
            <w:gridSpan w:val="2"/>
          </w:tcPr>
          <w:p w14:paraId="2B336E8B" w14:textId="6A374C5B" w:rsidR="00E67461" w:rsidRPr="00326C28" w:rsidRDefault="00E67461" w:rsidP="00286051">
            <w:pPr>
              <w:pStyle w:val="TableColumnHeadingCentred"/>
            </w:pPr>
            <w:r w:rsidRPr="00326C28">
              <w:t>Sub</w:t>
            </w:r>
            <w:r w:rsidR="008941F8">
              <w:noBreakHyphen/>
            </w:r>
            <w:r w:rsidRPr="00326C28">
              <w:t>committee members</w:t>
            </w:r>
          </w:p>
        </w:tc>
      </w:tr>
      <w:tr w:rsidR="00E67461" w:rsidRPr="00326C28" w14:paraId="72F274F8" w14:textId="77777777" w:rsidTr="00CB6C3D">
        <w:trPr>
          <w:cnfStyle w:val="100000000000" w:firstRow="1" w:lastRow="0" w:firstColumn="0" w:lastColumn="0" w:oddVBand="0" w:evenVBand="0" w:oddHBand="0" w:evenHBand="0" w:firstRowFirstColumn="0" w:firstRowLastColumn="0" w:lastRowFirstColumn="0" w:lastRowLastColumn="0"/>
          <w:tblHeader/>
        </w:trPr>
        <w:tc>
          <w:tcPr>
            <w:tcW w:w="2558" w:type="dxa"/>
            <w:vMerge/>
          </w:tcPr>
          <w:p w14:paraId="6C008611" w14:textId="77777777" w:rsidR="00E67461" w:rsidRPr="00326C28" w:rsidRDefault="00E67461" w:rsidP="00B45A6D">
            <w:pPr>
              <w:pStyle w:val="TableColumnHeadingLeft-Appendix"/>
            </w:pPr>
          </w:p>
        </w:tc>
        <w:tc>
          <w:tcPr>
            <w:tcW w:w="2829" w:type="dxa"/>
          </w:tcPr>
          <w:p w14:paraId="6B242BFD" w14:textId="77777777" w:rsidR="00E67461" w:rsidRPr="00326C28" w:rsidRDefault="00E67461" w:rsidP="00EF78C2">
            <w:pPr>
              <w:pStyle w:val="TableColumnHeadingCentred"/>
            </w:pPr>
            <w:r w:rsidRPr="00326C28">
              <w:t>Panel member</w:t>
            </w:r>
          </w:p>
        </w:tc>
        <w:tc>
          <w:tcPr>
            <w:tcW w:w="2324" w:type="dxa"/>
          </w:tcPr>
          <w:p w14:paraId="65B885D0" w14:textId="77777777" w:rsidR="00E67461" w:rsidRPr="00326C28" w:rsidRDefault="00E67461" w:rsidP="00EF78C2">
            <w:pPr>
              <w:pStyle w:val="TableColumnHeadingCentred"/>
            </w:pPr>
            <w:r w:rsidRPr="00326C28">
              <w:t>External member</w:t>
            </w:r>
          </w:p>
        </w:tc>
      </w:tr>
      <w:tr w:rsidR="00E67461" w:rsidRPr="00326C28" w14:paraId="0E345C1F"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5A7E4A53" w14:textId="02912959" w:rsidR="00E67461" w:rsidRPr="00326C28" w:rsidRDefault="00E67461" w:rsidP="00286051">
            <w:pPr>
              <w:pStyle w:val="TableTextLeft-Arial"/>
            </w:pPr>
            <w:r w:rsidRPr="00326C28">
              <w:t>GN 19 Insider Participation</w:t>
            </w:r>
          </w:p>
        </w:tc>
        <w:tc>
          <w:tcPr>
            <w:tcW w:w="2829" w:type="dxa"/>
          </w:tcPr>
          <w:p w14:paraId="39F63249" w14:textId="77777777" w:rsidR="00E67461" w:rsidRPr="00326C28" w:rsidRDefault="00E67461" w:rsidP="00286051">
            <w:pPr>
              <w:pStyle w:val="TableTextLeft-Arial"/>
            </w:pPr>
            <w:r w:rsidRPr="00326C28">
              <w:t>Mr Alex Cartel (President)</w:t>
            </w:r>
          </w:p>
        </w:tc>
        <w:tc>
          <w:tcPr>
            <w:tcW w:w="2324" w:type="dxa"/>
          </w:tcPr>
          <w:p w14:paraId="34F3F615" w14:textId="4F77D8D2" w:rsidR="00E67461" w:rsidRPr="00326C28" w:rsidRDefault="00126009" w:rsidP="00286051">
            <w:pPr>
              <w:pStyle w:val="TableTextLeft-Arial"/>
            </w:pPr>
            <w:r w:rsidRPr="00326C28">
              <w:t>Ms Karen Evans</w:t>
            </w:r>
            <w:r w:rsidR="008941F8">
              <w:noBreakHyphen/>
            </w:r>
            <w:r w:rsidRPr="00326C28">
              <w:t>Cullen</w:t>
            </w:r>
          </w:p>
        </w:tc>
      </w:tr>
      <w:tr w:rsidR="00E67461" w:rsidRPr="00326C28" w14:paraId="7E60C12C" w14:textId="77777777" w:rsidTr="00CB6C3D">
        <w:trPr>
          <w:trHeight w:val="340"/>
        </w:trPr>
        <w:tc>
          <w:tcPr>
            <w:tcW w:w="2558" w:type="dxa"/>
          </w:tcPr>
          <w:p w14:paraId="09BED899" w14:textId="77777777" w:rsidR="00E67461" w:rsidRPr="00326C28" w:rsidRDefault="00E67461" w:rsidP="00286051">
            <w:pPr>
              <w:pStyle w:val="TableTextLeft-Arial"/>
            </w:pPr>
          </w:p>
        </w:tc>
        <w:tc>
          <w:tcPr>
            <w:tcW w:w="2829" w:type="dxa"/>
          </w:tcPr>
          <w:p w14:paraId="7988160F" w14:textId="143B405F" w:rsidR="00E67461" w:rsidRPr="00326C28" w:rsidRDefault="006D1038" w:rsidP="00286051">
            <w:pPr>
              <w:pStyle w:val="TableTextLeft-Arial"/>
            </w:pPr>
            <w:r w:rsidRPr="00326C28">
              <w:t>Ms Stephanie Charles</w:t>
            </w:r>
          </w:p>
        </w:tc>
        <w:tc>
          <w:tcPr>
            <w:tcW w:w="2324" w:type="dxa"/>
          </w:tcPr>
          <w:p w14:paraId="74C32B4B" w14:textId="77777777" w:rsidR="00E67461" w:rsidRPr="00326C28" w:rsidRDefault="00E67461" w:rsidP="00286051">
            <w:pPr>
              <w:pStyle w:val="TableTextLeft-Arial"/>
            </w:pPr>
          </w:p>
        </w:tc>
      </w:tr>
      <w:tr w:rsidR="00E67461" w:rsidRPr="00326C28" w14:paraId="5ADB0D83"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60DFA899" w14:textId="77777777" w:rsidR="00E67461" w:rsidRPr="00326C28" w:rsidRDefault="00E67461" w:rsidP="00286051">
            <w:pPr>
              <w:pStyle w:val="TableTextLeft-Arial"/>
            </w:pPr>
          </w:p>
        </w:tc>
        <w:tc>
          <w:tcPr>
            <w:tcW w:w="2829" w:type="dxa"/>
          </w:tcPr>
          <w:p w14:paraId="7F53D9E8" w14:textId="075EAB00" w:rsidR="00E67461" w:rsidRPr="00326C28" w:rsidRDefault="00126009" w:rsidP="00286051">
            <w:pPr>
              <w:pStyle w:val="TableTextLeft-Arial"/>
            </w:pPr>
            <w:r w:rsidRPr="00326C28">
              <w:t>Ms Marissa Freund</w:t>
            </w:r>
          </w:p>
        </w:tc>
        <w:tc>
          <w:tcPr>
            <w:tcW w:w="2324" w:type="dxa"/>
          </w:tcPr>
          <w:p w14:paraId="4EDBA1CD" w14:textId="77777777" w:rsidR="00E67461" w:rsidRPr="00326C28" w:rsidRDefault="00E67461" w:rsidP="00286051">
            <w:pPr>
              <w:pStyle w:val="TableTextLeft-Arial"/>
            </w:pPr>
          </w:p>
        </w:tc>
      </w:tr>
      <w:tr w:rsidR="006D1038" w:rsidRPr="00326C28" w14:paraId="5B2B77A8" w14:textId="77777777" w:rsidTr="00CB6C3D">
        <w:trPr>
          <w:trHeight w:val="340"/>
        </w:trPr>
        <w:tc>
          <w:tcPr>
            <w:tcW w:w="2558" w:type="dxa"/>
          </w:tcPr>
          <w:p w14:paraId="2AFC939E" w14:textId="77777777" w:rsidR="006D1038" w:rsidRPr="00326C28" w:rsidRDefault="006D1038" w:rsidP="00286051">
            <w:pPr>
              <w:pStyle w:val="TableTextLeft-Arial"/>
            </w:pPr>
          </w:p>
        </w:tc>
        <w:tc>
          <w:tcPr>
            <w:tcW w:w="2829" w:type="dxa"/>
          </w:tcPr>
          <w:p w14:paraId="36B7CD6B" w14:textId="1C5C4AF0" w:rsidR="006D1038" w:rsidRPr="00326C28" w:rsidRDefault="00126009" w:rsidP="00286051">
            <w:pPr>
              <w:pStyle w:val="TableTextLeft-Arial"/>
            </w:pPr>
            <w:r w:rsidRPr="00326C28">
              <w:t>Mr Bill Koeck</w:t>
            </w:r>
          </w:p>
        </w:tc>
        <w:tc>
          <w:tcPr>
            <w:tcW w:w="2324" w:type="dxa"/>
          </w:tcPr>
          <w:p w14:paraId="4450647A" w14:textId="77777777" w:rsidR="006D1038" w:rsidRPr="00326C28" w:rsidRDefault="006D1038" w:rsidP="00286051">
            <w:pPr>
              <w:pStyle w:val="TableTextLeft-Arial"/>
            </w:pPr>
          </w:p>
        </w:tc>
      </w:tr>
      <w:tr w:rsidR="00126009" w:rsidRPr="00326C28" w14:paraId="40B1083B"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418B188D" w14:textId="77777777" w:rsidR="00126009" w:rsidRPr="00326C28" w:rsidRDefault="00126009" w:rsidP="00286051">
            <w:pPr>
              <w:pStyle w:val="TableTextLeft-Arial"/>
            </w:pPr>
          </w:p>
        </w:tc>
        <w:tc>
          <w:tcPr>
            <w:tcW w:w="2829" w:type="dxa"/>
          </w:tcPr>
          <w:p w14:paraId="1039AF18" w14:textId="62B199E0" w:rsidR="00126009" w:rsidRPr="00326C28" w:rsidRDefault="00126009" w:rsidP="00286051">
            <w:pPr>
              <w:pStyle w:val="TableTextLeft-Arial"/>
            </w:pPr>
            <w:r w:rsidRPr="00326C28">
              <w:t>Mr Ron Malek</w:t>
            </w:r>
          </w:p>
        </w:tc>
        <w:tc>
          <w:tcPr>
            <w:tcW w:w="2324" w:type="dxa"/>
          </w:tcPr>
          <w:p w14:paraId="0FFEE558" w14:textId="77777777" w:rsidR="00126009" w:rsidRPr="00326C28" w:rsidRDefault="00126009" w:rsidP="00286051">
            <w:pPr>
              <w:pStyle w:val="TableTextLeft-Arial"/>
            </w:pPr>
          </w:p>
        </w:tc>
      </w:tr>
      <w:tr w:rsidR="00126009" w:rsidRPr="00326C28" w14:paraId="6340CE27" w14:textId="77777777" w:rsidTr="00CB6C3D">
        <w:trPr>
          <w:trHeight w:val="340"/>
        </w:trPr>
        <w:tc>
          <w:tcPr>
            <w:tcW w:w="2558" w:type="dxa"/>
            <w:tcBorders>
              <w:bottom w:val="nil"/>
            </w:tcBorders>
          </w:tcPr>
          <w:p w14:paraId="20A244D7" w14:textId="77777777" w:rsidR="00126009" w:rsidRPr="00326C28" w:rsidRDefault="00126009" w:rsidP="00286051">
            <w:pPr>
              <w:pStyle w:val="TableTextLeft-Arial"/>
            </w:pPr>
          </w:p>
        </w:tc>
        <w:tc>
          <w:tcPr>
            <w:tcW w:w="2829" w:type="dxa"/>
            <w:tcBorders>
              <w:bottom w:val="nil"/>
            </w:tcBorders>
          </w:tcPr>
          <w:p w14:paraId="0C37B550" w14:textId="29469369" w:rsidR="00126009" w:rsidRPr="00326C28" w:rsidRDefault="00126009" w:rsidP="00286051">
            <w:pPr>
              <w:pStyle w:val="TableTextLeft-Arial"/>
            </w:pPr>
            <w:r w:rsidRPr="00326C28">
              <w:t>Ms Diana Nicholson</w:t>
            </w:r>
          </w:p>
        </w:tc>
        <w:tc>
          <w:tcPr>
            <w:tcW w:w="2324" w:type="dxa"/>
            <w:tcBorders>
              <w:bottom w:val="nil"/>
            </w:tcBorders>
          </w:tcPr>
          <w:p w14:paraId="5033834C" w14:textId="77777777" w:rsidR="00126009" w:rsidRPr="00326C28" w:rsidRDefault="00126009" w:rsidP="00286051">
            <w:pPr>
              <w:pStyle w:val="TableTextLeft-Arial"/>
            </w:pPr>
          </w:p>
        </w:tc>
      </w:tr>
      <w:tr w:rsidR="00126009" w:rsidRPr="00326C28" w14:paraId="579101BB"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Borders>
              <w:bottom w:val="single" w:sz="4" w:space="0" w:color="auto"/>
            </w:tcBorders>
          </w:tcPr>
          <w:p w14:paraId="34012354" w14:textId="77777777" w:rsidR="00126009" w:rsidRPr="00326C28" w:rsidRDefault="00126009" w:rsidP="00286051">
            <w:pPr>
              <w:pStyle w:val="TableTextLeft-Arial"/>
            </w:pPr>
          </w:p>
        </w:tc>
        <w:tc>
          <w:tcPr>
            <w:tcW w:w="2829" w:type="dxa"/>
            <w:tcBorders>
              <w:bottom w:val="single" w:sz="4" w:space="0" w:color="auto"/>
            </w:tcBorders>
          </w:tcPr>
          <w:p w14:paraId="2AB52A81" w14:textId="24A69AE5" w:rsidR="00126009" w:rsidRPr="00326C28" w:rsidRDefault="00126009" w:rsidP="00286051">
            <w:pPr>
              <w:pStyle w:val="TableTextLeft-Arial"/>
            </w:pPr>
            <w:r w:rsidRPr="00326C28">
              <w:t>Mr Neil Pathak</w:t>
            </w:r>
          </w:p>
        </w:tc>
        <w:tc>
          <w:tcPr>
            <w:tcW w:w="2324" w:type="dxa"/>
            <w:tcBorders>
              <w:bottom w:val="single" w:sz="4" w:space="0" w:color="auto"/>
            </w:tcBorders>
          </w:tcPr>
          <w:p w14:paraId="032C5A4E" w14:textId="77777777" w:rsidR="00126009" w:rsidRPr="00326C28" w:rsidRDefault="00126009" w:rsidP="00286051">
            <w:pPr>
              <w:pStyle w:val="TableTextLeft-Arial"/>
            </w:pPr>
          </w:p>
        </w:tc>
      </w:tr>
      <w:tr w:rsidR="00126009" w:rsidRPr="00326C28" w14:paraId="1A361AFC" w14:textId="77777777" w:rsidTr="00CB6C3D">
        <w:trPr>
          <w:trHeight w:val="340"/>
        </w:trPr>
        <w:tc>
          <w:tcPr>
            <w:tcW w:w="2558" w:type="dxa"/>
            <w:tcBorders>
              <w:top w:val="single" w:sz="4" w:space="0" w:color="auto"/>
            </w:tcBorders>
          </w:tcPr>
          <w:p w14:paraId="043D569A" w14:textId="376342BD" w:rsidR="00126009" w:rsidRPr="00326C28" w:rsidRDefault="00126009" w:rsidP="00286051">
            <w:pPr>
              <w:pStyle w:val="TableTextLeft-Arial"/>
            </w:pPr>
            <w:r w:rsidRPr="00326C28">
              <w:t>GN 7 Deal protection</w:t>
            </w:r>
          </w:p>
        </w:tc>
        <w:tc>
          <w:tcPr>
            <w:tcW w:w="2829" w:type="dxa"/>
            <w:tcBorders>
              <w:top w:val="single" w:sz="4" w:space="0" w:color="auto"/>
            </w:tcBorders>
          </w:tcPr>
          <w:p w14:paraId="402FFFBA" w14:textId="5E0930D0" w:rsidR="00126009" w:rsidRPr="00326C28" w:rsidRDefault="00165014" w:rsidP="00286051">
            <w:pPr>
              <w:pStyle w:val="TableTextLeft-Arial"/>
            </w:pPr>
            <w:r w:rsidRPr="00326C28">
              <w:t>Mr Alex Cartel (President)</w:t>
            </w:r>
          </w:p>
        </w:tc>
        <w:tc>
          <w:tcPr>
            <w:tcW w:w="2324" w:type="dxa"/>
            <w:tcBorders>
              <w:top w:val="single" w:sz="4" w:space="0" w:color="auto"/>
            </w:tcBorders>
          </w:tcPr>
          <w:p w14:paraId="0C725BBD" w14:textId="15F0C546" w:rsidR="00126009" w:rsidRPr="00326C28" w:rsidRDefault="00126009" w:rsidP="00286051">
            <w:pPr>
              <w:pStyle w:val="TableTextLeft-Arial"/>
            </w:pPr>
            <w:r w:rsidRPr="00326C28">
              <w:t>Ms Karen Evans</w:t>
            </w:r>
            <w:r w:rsidR="008941F8">
              <w:noBreakHyphen/>
            </w:r>
            <w:r w:rsidRPr="00326C28">
              <w:t>Cullen</w:t>
            </w:r>
          </w:p>
        </w:tc>
      </w:tr>
      <w:tr w:rsidR="00126009" w:rsidRPr="00326C28" w14:paraId="54169FE8"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30640929" w14:textId="77777777" w:rsidR="00126009" w:rsidRPr="00326C28" w:rsidRDefault="00126009" w:rsidP="00286051">
            <w:pPr>
              <w:pStyle w:val="TableTextLeft-Arial"/>
            </w:pPr>
          </w:p>
        </w:tc>
        <w:tc>
          <w:tcPr>
            <w:tcW w:w="2829" w:type="dxa"/>
          </w:tcPr>
          <w:p w14:paraId="08C0478F" w14:textId="49F09CA9" w:rsidR="00126009" w:rsidRPr="00326C28" w:rsidRDefault="00165014" w:rsidP="00286051">
            <w:pPr>
              <w:pStyle w:val="TableTextLeft-Arial"/>
            </w:pPr>
            <w:r w:rsidRPr="00326C28">
              <w:t>Mr Kelvin Barry</w:t>
            </w:r>
          </w:p>
        </w:tc>
        <w:tc>
          <w:tcPr>
            <w:tcW w:w="2324" w:type="dxa"/>
          </w:tcPr>
          <w:p w14:paraId="5385EE5F" w14:textId="77777777" w:rsidR="00126009" w:rsidRPr="00326C28" w:rsidRDefault="00126009" w:rsidP="00286051">
            <w:pPr>
              <w:pStyle w:val="TableTextLeft-Arial"/>
            </w:pPr>
          </w:p>
        </w:tc>
      </w:tr>
      <w:tr w:rsidR="00126009" w:rsidRPr="00326C28" w14:paraId="4798F1F8" w14:textId="77777777" w:rsidTr="00CB6C3D">
        <w:trPr>
          <w:trHeight w:val="340"/>
        </w:trPr>
        <w:tc>
          <w:tcPr>
            <w:tcW w:w="2558" w:type="dxa"/>
          </w:tcPr>
          <w:p w14:paraId="4370C47C" w14:textId="77777777" w:rsidR="00126009" w:rsidRPr="00326C28" w:rsidRDefault="00126009" w:rsidP="00286051">
            <w:pPr>
              <w:pStyle w:val="TableTextLeft-Arial"/>
            </w:pPr>
          </w:p>
        </w:tc>
        <w:tc>
          <w:tcPr>
            <w:tcW w:w="2829" w:type="dxa"/>
          </w:tcPr>
          <w:p w14:paraId="582EAB34" w14:textId="6516245A" w:rsidR="00126009" w:rsidRPr="00326C28" w:rsidRDefault="00165014" w:rsidP="00286051">
            <w:pPr>
              <w:pStyle w:val="TableTextLeft-Arial"/>
            </w:pPr>
            <w:r w:rsidRPr="00326C28">
              <w:t>Mr Bruce Cowley</w:t>
            </w:r>
          </w:p>
        </w:tc>
        <w:tc>
          <w:tcPr>
            <w:tcW w:w="2324" w:type="dxa"/>
          </w:tcPr>
          <w:p w14:paraId="116AC1C9" w14:textId="77777777" w:rsidR="00126009" w:rsidRPr="00326C28" w:rsidRDefault="00126009" w:rsidP="00286051">
            <w:pPr>
              <w:pStyle w:val="TableTextLeft-Arial"/>
            </w:pPr>
          </w:p>
        </w:tc>
      </w:tr>
      <w:tr w:rsidR="00126009" w:rsidRPr="00326C28" w14:paraId="2EE94E4A"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0EA7B190" w14:textId="77777777" w:rsidR="00126009" w:rsidRPr="00326C28" w:rsidRDefault="00126009" w:rsidP="00286051">
            <w:pPr>
              <w:pStyle w:val="TableTextLeft-Arial"/>
            </w:pPr>
          </w:p>
        </w:tc>
        <w:tc>
          <w:tcPr>
            <w:tcW w:w="2829" w:type="dxa"/>
          </w:tcPr>
          <w:p w14:paraId="5253917E" w14:textId="47075D25" w:rsidR="00126009" w:rsidRPr="00326C28" w:rsidRDefault="00165014" w:rsidP="00286051">
            <w:pPr>
              <w:pStyle w:val="TableTextLeft-Arial"/>
            </w:pPr>
            <w:r w:rsidRPr="00326C28">
              <w:t>Ms Diana Nicholson</w:t>
            </w:r>
          </w:p>
        </w:tc>
        <w:tc>
          <w:tcPr>
            <w:tcW w:w="2324" w:type="dxa"/>
          </w:tcPr>
          <w:p w14:paraId="6B0160BE" w14:textId="77777777" w:rsidR="00126009" w:rsidRPr="00326C28" w:rsidRDefault="00126009" w:rsidP="00286051">
            <w:pPr>
              <w:pStyle w:val="TableTextLeft-Arial"/>
            </w:pPr>
          </w:p>
        </w:tc>
      </w:tr>
      <w:tr w:rsidR="00126009" w:rsidRPr="00326C28" w14:paraId="48C1868B" w14:textId="77777777" w:rsidTr="00CB6C3D">
        <w:trPr>
          <w:trHeight w:val="340"/>
        </w:trPr>
        <w:tc>
          <w:tcPr>
            <w:tcW w:w="2558" w:type="dxa"/>
          </w:tcPr>
          <w:p w14:paraId="3F8DF961" w14:textId="77777777" w:rsidR="00126009" w:rsidRPr="00326C28" w:rsidRDefault="00126009" w:rsidP="00286051">
            <w:pPr>
              <w:pStyle w:val="TableTextLeft-Arial"/>
            </w:pPr>
          </w:p>
        </w:tc>
        <w:tc>
          <w:tcPr>
            <w:tcW w:w="2829" w:type="dxa"/>
          </w:tcPr>
          <w:p w14:paraId="44A4D6BB" w14:textId="1FE0C9D2" w:rsidR="00126009" w:rsidRPr="00326C28" w:rsidRDefault="00165014" w:rsidP="00286051">
            <w:pPr>
              <w:pStyle w:val="TableTextLeft-Arial"/>
            </w:pPr>
            <w:r w:rsidRPr="00326C28">
              <w:t>Mr Neil Pathak</w:t>
            </w:r>
          </w:p>
        </w:tc>
        <w:tc>
          <w:tcPr>
            <w:tcW w:w="2324" w:type="dxa"/>
          </w:tcPr>
          <w:p w14:paraId="02CE8B45" w14:textId="77777777" w:rsidR="00126009" w:rsidRPr="00326C28" w:rsidRDefault="00126009" w:rsidP="00286051">
            <w:pPr>
              <w:pStyle w:val="TableTextLeft-Arial"/>
            </w:pPr>
          </w:p>
        </w:tc>
      </w:tr>
      <w:tr w:rsidR="00165014" w:rsidRPr="00326C28" w14:paraId="2F3DE25E"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18DBDBEE" w14:textId="77777777" w:rsidR="00165014" w:rsidRPr="00326C28" w:rsidRDefault="00165014" w:rsidP="00286051">
            <w:pPr>
              <w:pStyle w:val="TableTextLeft-Arial"/>
            </w:pPr>
          </w:p>
        </w:tc>
        <w:tc>
          <w:tcPr>
            <w:tcW w:w="2829" w:type="dxa"/>
          </w:tcPr>
          <w:p w14:paraId="4590F88D" w14:textId="55789F6C" w:rsidR="00165014" w:rsidRPr="00326C28" w:rsidRDefault="00165014" w:rsidP="00286051">
            <w:pPr>
              <w:pStyle w:val="TableTextLeft-Arial"/>
            </w:pPr>
            <w:r w:rsidRPr="00326C28">
              <w:t>Mr James Stewart</w:t>
            </w:r>
          </w:p>
        </w:tc>
        <w:tc>
          <w:tcPr>
            <w:tcW w:w="2324" w:type="dxa"/>
          </w:tcPr>
          <w:p w14:paraId="659C10D0" w14:textId="77777777" w:rsidR="00165014" w:rsidRPr="00326C28" w:rsidRDefault="00165014" w:rsidP="00286051">
            <w:pPr>
              <w:pStyle w:val="TableTextLeft-Arial"/>
            </w:pPr>
          </w:p>
        </w:tc>
      </w:tr>
      <w:tr w:rsidR="00165014" w:rsidRPr="00B96665" w14:paraId="4837024A" w14:textId="77777777" w:rsidTr="00CB6C3D">
        <w:trPr>
          <w:trHeight w:val="340"/>
        </w:trPr>
        <w:tc>
          <w:tcPr>
            <w:tcW w:w="2558" w:type="dxa"/>
            <w:tcBorders>
              <w:bottom w:val="single" w:sz="4" w:space="0" w:color="0E406A" w:themeColor="accent1"/>
            </w:tcBorders>
          </w:tcPr>
          <w:p w14:paraId="15C3435E" w14:textId="77777777" w:rsidR="00165014" w:rsidRPr="00326C28" w:rsidRDefault="00165014" w:rsidP="00286051">
            <w:pPr>
              <w:pStyle w:val="TableTextLeft-Arial"/>
            </w:pPr>
          </w:p>
        </w:tc>
        <w:tc>
          <w:tcPr>
            <w:tcW w:w="2829" w:type="dxa"/>
            <w:tcBorders>
              <w:bottom w:val="single" w:sz="4" w:space="0" w:color="0E406A" w:themeColor="accent1"/>
            </w:tcBorders>
          </w:tcPr>
          <w:p w14:paraId="7EFC33F4" w14:textId="0F88DF1C" w:rsidR="00165014" w:rsidRDefault="00165014" w:rsidP="00286051">
            <w:pPr>
              <w:pStyle w:val="TableTextLeft-Arial"/>
            </w:pPr>
            <w:r w:rsidRPr="00326C28">
              <w:t>Ms Nicola Wakefield Evans</w:t>
            </w:r>
          </w:p>
        </w:tc>
        <w:tc>
          <w:tcPr>
            <w:tcW w:w="2324" w:type="dxa"/>
            <w:tcBorders>
              <w:bottom w:val="single" w:sz="4" w:space="0" w:color="0E406A" w:themeColor="accent1"/>
            </w:tcBorders>
          </w:tcPr>
          <w:p w14:paraId="2C620A6F" w14:textId="77777777" w:rsidR="00165014" w:rsidRPr="0021785C" w:rsidRDefault="00165014" w:rsidP="00286051">
            <w:pPr>
              <w:pStyle w:val="TableTextLeft-Arial"/>
            </w:pPr>
          </w:p>
        </w:tc>
      </w:tr>
      <w:tr w:rsidR="00DB6776" w:rsidRPr="00B96665" w14:paraId="2E354464"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Borders>
              <w:top w:val="single" w:sz="4" w:space="0" w:color="0E406A" w:themeColor="accent1"/>
            </w:tcBorders>
          </w:tcPr>
          <w:p w14:paraId="124642A7" w14:textId="35A733DD" w:rsidR="00DB6776" w:rsidRPr="00836D3C" w:rsidRDefault="00DB6776" w:rsidP="00286051">
            <w:pPr>
              <w:pStyle w:val="TableTextLeft-Arial"/>
            </w:pPr>
            <w:r w:rsidRPr="00836D3C">
              <w:t>Improving Panel Processes with Parties</w:t>
            </w:r>
          </w:p>
        </w:tc>
        <w:tc>
          <w:tcPr>
            <w:tcW w:w="2829" w:type="dxa"/>
            <w:tcBorders>
              <w:top w:val="single" w:sz="4" w:space="0" w:color="0E406A" w:themeColor="accent1"/>
            </w:tcBorders>
          </w:tcPr>
          <w:p w14:paraId="2C77C7B4" w14:textId="3E7A68E9" w:rsidR="00DB6776" w:rsidRPr="00836D3C" w:rsidRDefault="00DB6776" w:rsidP="00286051">
            <w:pPr>
              <w:pStyle w:val="TableTextLeft-Arial"/>
            </w:pPr>
            <w:r w:rsidRPr="00836D3C">
              <w:t>Mr Alex Cartel (President)</w:t>
            </w:r>
          </w:p>
        </w:tc>
        <w:tc>
          <w:tcPr>
            <w:tcW w:w="2324" w:type="dxa"/>
            <w:tcBorders>
              <w:top w:val="single" w:sz="4" w:space="0" w:color="0E406A" w:themeColor="accent1"/>
            </w:tcBorders>
          </w:tcPr>
          <w:p w14:paraId="0A34FF5D" w14:textId="77777777" w:rsidR="00DB6776" w:rsidRPr="00836D3C" w:rsidRDefault="00DB6776" w:rsidP="00286051">
            <w:pPr>
              <w:pStyle w:val="TableTextLeft-Arial"/>
            </w:pPr>
          </w:p>
        </w:tc>
      </w:tr>
      <w:tr w:rsidR="00836D3C" w:rsidRPr="00B96665" w14:paraId="3932DA26" w14:textId="77777777" w:rsidTr="00CB6C3D">
        <w:trPr>
          <w:trHeight w:val="340"/>
        </w:trPr>
        <w:tc>
          <w:tcPr>
            <w:tcW w:w="2558" w:type="dxa"/>
          </w:tcPr>
          <w:p w14:paraId="1AF5F0CC" w14:textId="77777777" w:rsidR="00836D3C" w:rsidRPr="00836D3C" w:rsidRDefault="00836D3C" w:rsidP="00286051">
            <w:pPr>
              <w:pStyle w:val="TableTextLeft-Arial"/>
            </w:pPr>
          </w:p>
        </w:tc>
        <w:tc>
          <w:tcPr>
            <w:tcW w:w="2829" w:type="dxa"/>
          </w:tcPr>
          <w:p w14:paraId="682377FB" w14:textId="6EE7BE04" w:rsidR="00836D3C" w:rsidRPr="00836D3C" w:rsidRDefault="00836D3C" w:rsidP="00286051">
            <w:pPr>
              <w:pStyle w:val="TableTextLeft-Arial"/>
            </w:pPr>
            <w:r w:rsidRPr="00836D3C">
              <w:t>Ms Sylvia Falzon</w:t>
            </w:r>
          </w:p>
        </w:tc>
        <w:tc>
          <w:tcPr>
            <w:tcW w:w="2324" w:type="dxa"/>
          </w:tcPr>
          <w:p w14:paraId="33BEC907" w14:textId="77777777" w:rsidR="00836D3C" w:rsidRPr="00836D3C" w:rsidRDefault="00836D3C" w:rsidP="00286051">
            <w:pPr>
              <w:pStyle w:val="TableTextLeft-Arial"/>
            </w:pPr>
          </w:p>
        </w:tc>
      </w:tr>
      <w:tr w:rsidR="00836D3C" w:rsidRPr="00B96665" w14:paraId="4799E596"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683673F0" w14:textId="77777777" w:rsidR="00836D3C" w:rsidRPr="00836D3C" w:rsidRDefault="00836D3C" w:rsidP="00836D3C">
            <w:pPr>
              <w:pStyle w:val="TableTextLeft-Arial"/>
            </w:pPr>
          </w:p>
        </w:tc>
        <w:tc>
          <w:tcPr>
            <w:tcW w:w="2829" w:type="dxa"/>
          </w:tcPr>
          <w:p w14:paraId="0C0AAF2F" w14:textId="2394568F" w:rsidR="00836D3C" w:rsidRPr="00836D3C" w:rsidRDefault="00836D3C" w:rsidP="00836D3C">
            <w:pPr>
              <w:pStyle w:val="TableTextLeft-Arial"/>
            </w:pPr>
            <w:r w:rsidRPr="00836D3C">
              <w:t>Ms Marina Kelman</w:t>
            </w:r>
          </w:p>
        </w:tc>
        <w:tc>
          <w:tcPr>
            <w:tcW w:w="2324" w:type="dxa"/>
          </w:tcPr>
          <w:p w14:paraId="10EF4E42" w14:textId="77777777" w:rsidR="00836D3C" w:rsidRPr="00836D3C" w:rsidRDefault="00836D3C" w:rsidP="00836D3C">
            <w:pPr>
              <w:pStyle w:val="TableTextLeft-Arial"/>
            </w:pPr>
          </w:p>
        </w:tc>
      </w:tr>
      <w:tr w:rsidR="00836D3C" w:rsidRPr="00B96665" w14:paraId="3D2C0491" w14:textId="77777777" w:rsidTr="00CB6C3D">
        <w:trPr>
          <w:trHeight w:val="340"/>
        </w:trPr>
        <w:tc>
          <w:tcPr>
            <w:tcW w:w="2558" w:type="dxa"/>
          </w:tcPr>
          <w:p w14:paraId="6651FC9F" w14:textId="77777777" w:rsidR="00836D3C" w:rsidRPr="00836D3C" w:rsidRDefault="00836D3C" w:rsidP="00836D3C">
            <w:pPr>
              <w:pStyle w:val="TableTextLeft-Arial"/>
            </w:pPr>
          </w:p>
        </w:tc>
        <w:tc>
          <w:tcPr>
            <w:tcW w:w="2829" w:type="dxa"/>
          </w:tcPr>
          <w:p w14:paraId="72553C98" w14:textId="71165DD5" w:rsidR="00836D3C" w:rsidRPr="00836D3C" w:rsidRDefault="00836D3C" w:rsidP="00836D3C">
            <w:pPr>
              <w:pStyle w:val="TableTextLeft-Arial"/>
            </w:pPr>
            <w:r w:rsidRPr="00836D3C">
              <w:t>Mr Michael Lishman</w:t>
            </w:r>
          </w:p>
        </w:tc>
        <w:tc>
          <w:tcPr>
            <w:tcW w:w="2324" w:type="dxa"/>
          </w:tcPr>
          <w:p w14:paraId="4B029572" w14:textId="77777777" w:rsidR="00836D3C" w:rsidRPr="00836D3C" w:rsidRDefault="00836D3C" w:rsidP="00836D3C">
            <w:pPr>
              <w:pStyle w:val="TableTextLeft-Arial"/>
            </w:pPr>
          </w:p>
        </w:tc>
      </w:tr>
      <w:tr w:rsidR="00836D3C" w:rsidRPr="00B96665" w14:paraId="438448BD"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02747D34" w14:textId="77777777" w:rsidR="00836D3C" w:rsidRPr="00836D3C" w:rsidRDefault="00836D3C" w:rsidP="00836D3C">
            <w:pPr>
              <w:pStyle w:val="TableTextLeft-Arial"/>
            </w:pPr>
          </w:p>
        </w:tc>
        <w:tc>
          <w:tcPr>
            <w:tcW w:w="2829" w:type="dxa"/>
          </w:tcPr>
          <w:p w14:paraId="49F3F7C6" w14:textId="5E0BE6DA" w:rsidR="00836D3C" w:rsidRPr="00836D3C" w:rsidRDefault="00836D3C" w:rsidP="00836D3C">
            <w:pPr>
              <w:pStyle w:val="TableTextLeft-Arial"/>
            </w:pPr>
            <w:r w:rsidRPr="00836D3C">
              <w:t>Ms Rebecca Maslen</w:t>
            </w:r>
            <w:r w:rsidR="008941F8">
              <w:noBreakHyphen/>
            </w:r>
            <w:r w:rsidRPr="00836D3C">
              <w:t>Stannage</w:t>
            </w:r>
          </w:p>
        </w:tc>
        <w:tc>
          <w:tcPr>
            <w:tcW w:w="2324" w:type="dxa"/>
          </w:tcPr>
          <w:p w14:paraId="2F755680" w14:textId="77777777" w:rsidR="00836D3C" w:rsidRPr="00836D3C" w:rsidRDefault="00836D3C" w:rsidP="00836D3C">
            <w:pPr>
              <w:pStyle w:val="TableTextLeft-Arial"/>
            </w:pPr>
          </w:p>
        </w:tc>
      </w:tr>
      <w:tr w:rsidR="00836D3C" w:rsidRPr="00B96665" w14:paraId="44F3092A" w14:textId="77777777" w:rsidTr="00CB6C3D">
        <w:trPr>
          <w:trHeight w:val="340"/>
        </w:trPr>
        <w:tc>
          <w:tcPr>
            <w:tcW w:w="2558" w:type="dxa"/>
          </w:tcPr>
          <w:p w14:paraId="6768C77B" w14:textId="77777777" w:rsidR="00836D3C" w:rsidRPr="00836D3C" w:rsidRDefault="00836D3C" w:rsidP="00836D3C">
            <w:pPr>
              <w:pStyle w:val="TableTextLeft-Arial"/>
            </w:pPr>
          </w:p>
        </w:tc>
        <w:tc>
          <w:tcPr>
            <w:tcW w:w="2829" w:type="dxa"/>
          </w:tcPr>
          <w:p w14:paraId="39B9B2FE" w14:textId="50BEB0F4" w:rsidR="00836D3C" w:rsidRPr="00836D3C" w:rsidRDefault="00836D3C" w:rsidP="00836D3C">
            <w:pPr>
              <w:pStyle w:val="TableTextLeft-Arial"/>
            </w:pPr>
            <w:r w:rsidRPr="00836D3C">
              <w:t>Mr John McGlue</w:t>
            </w:r>
          </w:p>
        </w:tc>
        <w:tc>
          <w:tcPr>
            <w:tcW w:w="2324" w:type="dxa"/>
          </w:tcPr>
          <w:p w14:paraId="24149709" w14:textId="77777777" w:rsidR="00836D3C" w:rsidRPr="00836D3C" w:rsidRDefault="00836D3C" w:rsidP="00836D3C">
            <w:pPr>
              <w:pStyle w:val="TableTextLeft-Arial"/>
            </w:pPr>
          </w:p>
        </w:tc>
      </w:tr>
      <w:tr w:rsidR="00836D3C" w:rsidRPr="00B96665" w14:paraId="713259B9" w14:textId="77777777" w:rsidTr="00CB6C3D">
        <w:trPr>
          <w:cnfStyle w:val="000000100000" w:firstRow="0" w:lastRow="0" w:firstColumn="0" w:lastColumn="0" w:oddVBand="0" w:evenVBand="0" w:oddHBand="1" w:evenHBand="0" w:firstRowFirstColumn="0" w:firstRowLastColumn="0" w:lastRowFirstColumn="0" w:lastRowLastColumn="0"/>
          <w:trHeight w:val="340"/>
        </w:trPr>
        <w:tc>
          <w:tcPr>
            <w:tcW w:w="2558" w:type="dxa"/>
          </w:tcPr>
          <w:p w14:paraId="0EB3E661" w14:textId="77777777" w:rsidR="00836D3C" w:rsidRPr="00836D3C" w:rsidRDefault="00836D3C" w:rsidP="00836D3C">
            <w:pPr>
              <w:pStyle w:val="TableTextLeft-Arial"/>
            </w:pPr>
          </w:p>
        </w:tc>
        <w:tc>
          <w:tcPr>
            <w:tcW w:w="2829" w:type="dxa"/>
          </w:tcPr>
          <w:p w14:paraId="2699C3BF" w14:textId="5528B4BF" w:rsidR="00836D3C" w:rsidRPr="00836D3C" w:rsidRDefault="00836D3C" w:rsidP="00836D3C">
            <w:pPr>
              <w:pStyle w:val="TableTextLeft-Arial"/>
            </w:pPr>
            <w:r w:rsidRPr="00836D3C">
              <w:t>Mr Neil Pathak</w:t>
            </w:r>
          </w:p>
        </w:tc>
        <w:tc>
          <w:tcPr>
            <w:tcW w:w="2324" w:type="dxa"/>
          </w:tcPr>
          <w:p w14:paraId="73F74C2D" w14:textId="77777777" w:rsidR="00836D3C" w:rsidRPr="00836D3C" w:rsidRDefault="00836D3C" w:rsidP="00836D3C">
            <w:pPr>
              <w:pStyle w:val="TableTextLeft-Arial"/>
            </w:pPr>
          </w:p>
        </w:tc>
      </w:tr>
      <w:tr w:rsidR="00836D3C" w:rsidRPr="00B96665" w14:paraId="222A03D8" w14:textId="77777777" w:rsidTr="00FE4098">
        <w:trPr>
          <w:trHeight w:val="340"/>
        </w:trPr>
        <w:tc>
          <w:tcPr>
            <w:tcW w:w="2558" w:type="dxa"/>
            <w:tcBorders>
              <w:bottom w:val="nil"/>
            </w:tcBorders>
          </w:tcPr>
          <w:p w14:paraId="1404E615" w14:textId="77777777" w:rsidR="00836D3C" w:rsidRPr="00836D3C" w:rsidRDefault="00836D3C" w:rsidP="00836D3C">
            <w:pPr>
              <w:pStyle w:val="TableTextLeft-Arial"/>
            </w:pPr>
          </w:p>
        </w:tc>
        <w:tc>
          <w:tcPr>
            <w:tcW w:w="2829" w:type="dxa"/>
            <w:tcBorders>
              <w:bottom w:val="nil"/>
            </w:tcBorders>
          </w:tcPr>
          <w:p w14:paraId="1AFB6B61" w14:textId="732260BD" w:rsidR="00836D3C" w:rsidRPr="00836D3C" w:rsidRDefault="00836D3C" w:rsidP="00836D3C">
            <w:pPr>
              <w:pStyle w:val="TableTextLeft-Arial"/>
            </w:pPr>
            <w:r w:rsidRPr="00836D3C">
              <w:t>Ms Karen Phin</w:t>
            </w:r>
          </w:p>
        </w:tc>
        <w:tc>
          <w:tcPr>
            <w:tcW w:w="2324" w:type="dxa"/>
            <w:tcBorders>
              <w:bottom w:val="nil"/>
            </w:tcBorders>
          </w:tcPr>
          <w:p w14:paraId="3A53211C" w14:textId="77777777" w:rsidR="00836D3C" w:rsidRPr="00836D3C" w:rsidRDefault="00836D3C" w:rsidP="00836D3C">
            <w:pPr>
              <w:pStyle w:val="TableTextLeft-Arial"/>
            </w:pPr>
          </w:p>
        </w:tc>
      </w:tr>
      <w:tr w:rsidR="00836D3C" w:rsidRPr="00B96665" w14:paraId="04353675" w14:textId="77777777" w:rsidTr="00FE4098">
        <w:trPr>
          <w:cnfStyle w:val="000000100000" w:firstRow="0" w:lastRow="0" w:firstColumn="0" w:lastColumn="0" w:oddVBand="0" w:evenVBand="0" w:oddHBand="1" w:evenHBand="0" w:firstRowFirstColumn="0" w:firstRowLastColumn="0" w:lastRowFirstColumn="0" w:lastRowLastColumn="0"/>
          <w:trHeight w:val="340"/>
        </w:trPr>
        <w:tc>
          <w:tcPr>
            <w:tcW w:w="2558" w:type="dxa"/>
            <w:tcBorders>
              <w:bottom w:val="single" w:sz="4" w:space="0" w:color="auto"/>
            </w:tcBorders>
          </w:tcPr>
          <w:p w14:paraId="35A53A91" w14:textId="77777777" w:rsidR="00836D3C" w:rsidRPr="00836D3C" w:rsidRDefault="00836D3C" w:rsidP="00836D3C">
            <w:pPr>
              <w:pStyle w:val="TableTextLeft-Arial"/>
            </w:pPr>
          </w:p>
        </w:tc>
        <w:tc>
          <w:tcPr>
            <w:tcW w:w="2829" w:type="dxa"/>
            <w:tcBorders>
              <w:bottom w:val="single" w:sz="4" w:space="0" w:color="auto"/>
            </w:tcBorders>
          </w:tcPr>
          <w:p w14:paraId="1EC48C84" w14:textId="71054B57" w:rsidR="00836D3C" w:rsidRPr="00836D3C" w:rsidRDefault="00836D3C" w:rsidP="00836D3C">
            <w:pPr>
              <w:pStyle w:val="TableTextLeft-Arial"/>
            </w:pPr>
            <w:r w:rsidRPr="00836D3C">
              <w:t>Ms Erin Tinker</w:t>
            </w:r>
          </w:p>
        </w:tc>
        <w:tc>
          <w:tcPr>
            <w:tcW w:w="2324" w:type="dxa"/>
            <w:tcBorders>
              <w:bottom w:val="single" w:sz="4" w:space="0" w:color="auto"/>
            </w:tcBorders>
          </w:tcPr>
          <w:p w14:paraId="754F7480" w14:textId="77777777" w:rsidR="00836D3C" w:rsidRPr="00836D3C" w:rsidRDefault="00836D3C" w:rsidP="00836D3C">
            <w:pPr>
              <w:pStyle w:val="TableTextLeft-Arial"/>
            </w:pPr>
          </w:p>
        </w:tc>
      </w:tr>
    </w:tbl>
    <w:p w14:paraId="6B2293F2" w14:textId="77777777" w:rsidR="005F0B4E" w:rsidRDefault="005F0B4E" w:rsidP="00B45A6D">
      <w:pPr>
        <w:pStyle w:val="TableTextLeft-Appendix1"/>
      </w:pPr>
    </w:p>
    <w:p w14:paraId="571C6C2D" w14:textId="187567FA" w:rsidR="00E67461" w:rsidRPr="00B46724" w:rsidRDefault="00E67461" w:rsidP="00B46724">
      <w:pPr>
        <w:pStyle w:val="SingleParagraph"/>
        <w:rPr>
          <w:sz w:val="18"/>
        </w:rPr>
        <w:sectPr w:rsidR="00E67461" w:rsidRPr="00B46724" w:rsidSect="00666211">
          <w:pgSz w:w="11907" w:h="16840" w:code="9"/>
          <w:pgMar w:top="2466" w:right="2098" w:bottom="2466" w:left="2098" w:header="1899" w:footer="1899" w:gutter="0"/>
          <w:pgBorders w:offsetFrom="page">
            <w:bottom w:val="single" w:sz="2" w:space="24" w:color="1F497D" w:themeColor="text2"/>
          </w:pgBorders>
          <w:cols w:space="720"/>
          <w:docGrid w:linePitch="299"/>
        </w:sectPr>
      </w:pPr>
    </w:p>
    <w:p w14:paraId="571C6C8C" w14:textId="2DA259B4" w:rsidR="006555DE" w:rsidRPr="00566061" w:rsidRDefault="00CC73CE" w:rsidP="00382254">
      <w:pPr>
        <w:pStyle w:val="Heading1"/>
      </w:pPr>
      <w:bookmarkStart w:id="480" w:name="_Panel_applications"/>
      <w:bookmarkStart w:id="481" w:name="_Toc143338261"/>
      <w:bookmarkStart w:id="482" w:name="_Toc143340326"/>
      <w:bookmarkStart w:id="483" w:name="_Toc143418701"/>
      <w:bookmarkStart w:id="484" w:name="_Toc143420210"/>
      <w:bookmarkStart w:id="485" w:name="_Toc177204285"/>
      <w:bookmarkStart w:id="486" w:name="_Toc204589530"/>
      <w:bookmarkStart w:id="487" w:name="_Toc204589541"/>
      <w:bookmarkStart w:id="488" w:name="_Toc204590165"/>
      <w:bookmarkStart w:id="489" w:name="_Toc204591249"/>
      <w:bookmarkStart w:id="490" w:name="_Toc204591308"/>
      <w:bookmarkStart w:id="491" w:name="_Toc204591420"/>
      <w:bookmarkStart w:id="492" w:name="_Toc207163437"/>
      <w:bookmarkStart w:id="493" w:name="_Toc362608090"/>
      <w:bookmarkStart w:id="494" w:name="_Toc174632419"/>
      <w:bookmarkEnd w:id="480"/>
      <w:r>
        <w:lastRenderedPageBreak/>
        <w:t>Appendix </w:t>
      </w:r>
      <w:r w:rsidR="00E67461">
        <w:t>3</w:t>
      </w:r>
      <w:r w:rsidR="00CD2FE5">
        <w:t xml:space="preserve"> – </w:t>
      </w:r>
      <w:r w:rsidR="0037650B" w:rsidRPr="00566061">
        <w:t>P</w:t>
      </w:r>
      <w:r w:rsidR="003961C1" w:rsidRPr="00566061">
        <w:t>anel</w:t>
      </w:r>
      <w:r w:rsidR="009B3185" w:rsidRPr="00566061">
        <w:t xml:space="preserve"> </w:t>
      </w:r>
      <w:r w:rsidR="0037650B" w:rsidRPr="00566061">
        <w:t>A</w:t>
      </w:r>
      <w:r w:rsidR="003961C1" w:rsidRPr="00566061">
        <w:t>pplications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571C6C8D" w14:textId="37988C0F" w:rsidR="006555DE" w:rsidRPr="004A222F" w:rsidRDefault="00CC73CE" w:rsidP="00946668">
      <w:pPr>
        <w:pStyle w:val="TableMainHeading"/>
      </w:pPr>
      <w:bookmarkStart w:id="495" w:name="_Toc529007612"/>
      <w:bookmarkStart w:id="496" w:name="_Toc143340639"/>
      <w:bookmarkStart w:id="497" w:name="_Toc176854668"/>
      <w:bookmarkStart w:id="498" w:name="_Toc204589531"/>
      <w:bookmarkStart w:id="499" w:name="_Toc207510589"/>
      <w:bookmarkStart w:id="500" w:name="_Toc146790821"/>
      <w:bookmarkStart w:id="501" w:name="OLE_LINK1"/>
      <w:bookmarkStart w:id="502" w:name="OLE_LINK2"/>
      <w:r w:rsidRPr="004A222F">
        <w:t>Table </w:t>
      </w:r>
      <w:r w:rsidR="0076752B" w:rsidRPr="004A222F">
        <w:t>1</w:t>
      </w:r>
      <w:r w:rsidR="002D2C29">
        <w:t>3</w:t>
      </w:r>
      <w:r w:rsidR="006555DE" w:rsidRPr="004A222F">
        <w:t>: Applications</w:t>
      </w:r>
      <w:bookmarkEnd w:id="495"/>
      <w:r w:rsidR="00746995" w:rsidRPr="004A222F">
        <w:fldChar w:fldCharType="begin"/>
      </w:r>
      <w:r w:rsidR="00746995" w:rsidRPr="004A222F">
        <w:instrText>xe "Applications"</w:instrText>
      </w:r>
      <w:r w:rsidR="00746995" w:rsidRPr="004A222F">
        <w:fldChar w:fldCharType="end"/>
      </w:r>
      <w:r w:rsidR="006555DE" w:rsidRPr="004A222F">
        <w:t xml:space="preserve"> received by the Panel in 20</w:t>
      </w:r>
      <w:r w:rsidR="00493089" w:rsidRPr="004A222F">
        <w:t>2</w:t>
      </w:r>
      <w:bookmarkEnd w:id="496"/>
      <w:bookmarkEnd w:id="497"/>
      <w:bookmarkEnd w:id="498"/>
      <w:bookmarkEnd w:id="499"/>
      <w:r w:rsidR="004A222F" w:rsidRPr="004A222F">
        <w:t>3</w:t>
      </w:r>
      <w:r w:rsidR="00550FAF" w:rsidRPr="004A222F">
        <w:t>–</w:t>
      </w:r>
      <w:r w:rsidR="00515EE1" w:rsidRPr="004A222F">
        <w:t>2</w:t>
      </w:r>
      <w:r w:rsidR="004A222F" w:rsidRPr="004A222F">
        <w:t>4</w:t>
      </w:r>
      <w:r w:rsidR="000C69D4" w:rsidRPr="004A222F">
        <w:rPr>
          <w:rStyle w:val="FootnoteReference"/>
        </w:rPr>
        <w:footnoteReference w:id="29"/>
      </w:r>
      <w:bookmarkEnd w:id="500"/>
    </w:p>
    <w:bookmarkEnd w:id="501"/>
    <w:bookmarkEnd w:id="502"/>
    <w:tbl>
      <w:tblPr>
        <w:tblW w:w="5000" w:type="pct"/>
        <w:tblLayout w:type="fixed"/>
        <w:tblCellMar>
          <w:left w:w="57" w:type="dxa"/>
          <w:right w:w="57" w:type="dxa"/>
        </w:tblCellMar>
        <w:tblLook w:val="0000" w:firstRow="0" w:lastRow="0" w:firstColumn="0" w:lastColumn="0" w:noHBand="0" w:noVBand="0"/>
      </w:tblPr>
      <w:tblGrid>
        <w:gridCol w:w="566"/>
        <w:gridCol w:w="1136"/>
        <w:gridCol w:w="998"/>
        <w:gridCol w:w="3537"/>
        <w:gridCol w:w="2410"/>
        <w:gridCol w:w="1134"/>
        <w:gridCol w:w="1134"/>
        <w:gridCol w:w="993"/>
      </w:tblGrid>
      <w:tr w:rsidR="00192E48" w:rsidRPr="004A222F" w14:paraId="571C6C95" w14:textId="20E79D07" w:rsidTr="00E5289C">
        <w:trPr>
          <w:trHeight w:val="20"/>
          <w:tblHeader/>
        </w:trPr>
        <w:tc>
          <w:tcPr>
            <w:tcW w:w="238" w:type="pct"/>
            <w:tcBorders>
              <w:top w:val="single" w:sz="4" w:space="0" w:color="1F497D"/>
              <w:bottom w:val="single" w:sz="4" w:space="0" w:color="1F497D"/>
            </w:tcBorders>
            <w:shd w:val="clear" w:color="auto" w:fill="0E406A" w:themeFill="accent1"/>
            <w:vAlign w:val="center"/>
          </w:tcPr>
          <w:p w14:paraId="571C6C8E" w14:textId="77777777" w:rsidR="004E47CA" w:rsidRPr="004A222F" w:rsidRDefault="004E47CA" w:rsidP="00EF78C2">
            <w:pPr>
              <w:pStyle w:val="TableColumnHeadingLeft"/>
            </w:pPr>
          </w:p>
        </w:tc>
        <w:tc>
          <w:tcPr>
            <w:tcW w:w="477" w:type="pct"/>
            <w:tcBorders>
              <w:top w:val="single" w:sz="4" w:space="0" w:color="1F497D"/>
              <w:bottom w:val="single" w:sz="4" w:space="0" w:color="1F497D"/>
            </w:tcBorders>
            <w:shd w:val="clear" w:color="auto" w:fill="0E406A" w:themeFill="accent1"/>
            <w:vAlign w:val="center"/>
          </w:tcPr>
          <w:p w14:paraId="571C6C8F" w14:textId="77777777" w:rsidR="004E47CA" w:rsidRPr="004A222F" w:rsidRDefault="004E47CA" w:rsidP="00EF78C2">
            <w:pPr>
              <w:pStyle w:val="TableColumnHeadingLeft"/>
            </w:pPr>
            <w:r w:rsidRPr="004A222F">
              <w:t>Matter No.</w:t>
            </w:r>
          </w:p>
        </w:tc>
        <w:tc>
          <w:tcPr>
            <w:tcW w:w="419" w:type="pct"/>
            <w:tcBorders>
              <w:top w:val="single" w:sz="4" w:space="0" w:color="1F497D"/>
              <w:bottom w:val="single" w:sz="4" w:space="0" w:color="1F497D"/>
            </w:tcBorders>
            <w:shd w:val="clear" w:color="auto" w:fill="0E406A" w:themeFill="accent1"/>
            <w:vAlign w:val="center"/>
          </w:tcPr>
          <w:p w14:paraId="571C6C90" w14:textId="77777777" w:rsidR="004E47CA" w:rsidRPr="00D82641" w:rsidRDefault="004E47CA" w:rsidP="00EF78C2">
            <w:pPr>
              <w:pStyle w:val="TableColumnHeadingLeft"/>
              <w:rPr>
                <w:highlight w:val="yellow"/>
              </w:rPr>
            </w:pPr>
            <w:r w:rsidRPr="0082389C">
              <w:t>Section</w:t>
            </w:r>
          </w:p>
        </w:tc>
        <w:tc>
          <w:tcPr>
            <w:tcW w:w="1485" w:type="pct"/>
            <w:tcBorders>
              <w:top w:val="single" w:sz="4" w:space="0" w:color="1F497D"/>
              <w:bottom w:val="single" w:sz="4" w:space="0" w:color="1F497D"/>
            </w:tcBorders>
            <w:shd w:val="clear" w:color="auto" w:fill="0E406A" w:themeFill="accent1"/>
            <w:vAlign w:val="center"/>
          </w:tcPr>
          <w:p w14:paraId="571C6C91" w14:textId="77777777" w:rsidR="004E47CA" w:rsidRPr="004A222F" w:rsidRDefault="004E47CA" w:rsidP="00EF78C2">
            <w:pPr>
              <w:pStyle w:val="TableColumnHeadingLeft"/>
            </w:pPr>
            <w:r w:rsidRPr="004A222F">
              <w:t>Matter name</w:t>
            </w:r>
          </w:p>
        </w:tc>
        <w:tc>
          <w:tcPr>
            <w:tcW w:w="1012" w:type="pct"/>
            <w:tcBorders>
              <w:top w:val="single" w:sz="4" w:space="0" w:color="1F497D"/>
              <w:bottom w:val="single" w:sz="4" w:space="0" w:color="1F497D"/>
            </w:tcBorders>
            <w:shd w:val="clear" w:color="auto" w:fill="0E406A" w:themeFill="accent1"/>
            <w:vAlign w:val="center"/>
          </w:tcPr>
          <w:p w14:paraId="571C6C92" w14:textId="77777777" w:rsidR="004E47CA" w:rsidRPr="004A222F" w:rsidRDefault="004E47CA" w:rsidP="00EF78C2">
            <w:pPr>
              <w:pStyle w:val="TableColumnHeadingLeft"/>
            </w:pPr>
            <w:r w:rsidRPr="004A222F">
              <w:t>Decision</w:t>
            </w:r>
          </w:p>
        </w:tc>
        <w:tc>
          <w:tcPr>
            <w:tcW w:w="476" w:type="pct"/>
            <w:tcBorders>
              <w:top w:val="single" w:sz="4" w:space="0" w:color="1F497D"/>
              <w:bottom w:val="single" w:sz="4" w:space="0" w:color="1F497D"/>
            </w:tcBorders>
            <w:shd w:val="clear" w:color="auto" w:fill="0E406A" w:themeFill="accent1"/>
            <w:vAlign w:val="center"/>
          </w:tcPr>
          <w:p w14:paraId="571C6C93" w14:textId="77777777" w:rsidR="004E47CA" w:rsidRPr="004A222F" w:rsidRDefault="004E47CA" w:rsidP="00EF78C2">
            <w:pPr>
              <w:pStyle w:val="TableColumnHeadingLeft"/>
            </w:pPr>
            <w:r w:rsidRPr="004A222F">
              <w:t>Application Date</w:t>
            </w:r>
          </w:p>
        </w:tc>
        <w:tc>
          <w:tcPr>
            <w:tcW w:w="476" w:type="pct"/>
            <w:tcBorders>
              <w:top w:val="single" w:sz="4" w:space="0" w:color="1F497D"/>
              <w:bottom w:val="single" w:sz="4" w:space="0" w:color="1F497D"/>
            </w:tcBorders>
            <w:shd w:val="clear" w:color="auto" w:fill="0E406A" w:themeFill="accent1"/>
            <w:vAlign w:val="center"/>
          </w:tcPr>
          <w:p w14:paraId="571C6C94" w14:textId="24F3D563" w:rsidR="004E47CA" w:rsidRPr="004A222F" w:rsidRDefault="004E47CA" w:rsidP="00EF78C2">
            <w:pPr>
              <w:pStyle w:val="TableColumnHeadingLeft"/>
            </w:pPr>
            <w:r w:rsidRPr="004A222F">
              <w:t xml:space="preserve">Decision </w:t>
            </w:r>
            <w:r w:rsidR="00326C28">
              <w:t>D</w:t>
            </w:r>
            <w:r w:rsidRPr="004A222F">
              <w:t>ate</w:t>
            </w:r>
          </w:p>
        </w:tc>
        <w:tc>
          <w:tcPr>
            <w:tcW w:w="417" w:type="pct"/>
            <w:tcBorders>
              <w:top w:val="single" w:sz="4" w:space="0" w:color="1F497D"/>
              <w:bottom w:val="single" w:sz="4" w:space="0" w:color="1F497D"/>
            </w:tcBorders>
            <w:shd w:val="clear" w:color="auto" w:fill="0E406A" w:themeFill="accent1"/>
          </w:tcPr>
          <w:p w14:paraId="707FDEAC" w14:textId="196A02E2" w:rsidR="004E47CA" w:rsidRPr="004A222F" w:rsidRDefault="004E47CA" w:rsidP="004F7091">
            <w:pPr>
              <w:pStyle w:val="TableColumnHeadingRight"/>
            </w:pPr>
            <w:r w:rsidRPr="004A222F">
              <w:t xml:space="preserve">Days to Decision </w:t>
            </w:r>
          </w:p>
        </w:tc>
      </w:tr>
      <w:tr w:rsidR="00E5289C" w:rsidRPr="00D968E2" w14:paraId="571C6C9D" w14:textId="748E511C" w:rsidTr="00BD0F0C">
        <w:trPr>
          <w:trHeight w:val="20"/>
        </w:trPr>
        <w:tc>
          <w:tcPr>
            <w:tcW w:w="238" w:type="pct"/>
            <w:tcBorders>
              <w:top w:val="single" w:sz="4" w:space="0" w:color="1F497D"/>
            </w:tcBorders>
            <w:shd w:val="clear" w:color="auto" w:fill="F2F2F2" w:themeFill="background1" w:themeFillShade="F2"/>
            <w:vAlign w:val="center"/>
          </w:tcPr>
          <w:p w14:paraId="571C6C96" w14:textId="1FD8CCE3" w:rsidR="00E5289C" w:rsidRPr="00D968E2" w:rsidRDefault="00E5289C" w:rsidP="00E5289C">
            <w:pPr>
              <w:pStyle w:val="TableColumnHeadingLeft"/>
              <w:jc w:val="center"/>
            </w:pPr>
            <w:bookmarkStart w:id="503" w:name="_Hlk174364842"/>
            <w:r w:rsidRPr="00D968E2">
              <w:t>1</w:t>
            </w:r>
          </w:p>
        </w:tc>
        <w:tc>
          <w:tcPr>
            <w:tcW w:w="477" w:type="pct"/>
            <w:tcBorders>
              <w:top w:val="single" w:sz="4" w:space="0" w:color="1F497D"/>
            </w:tcBorders>
            <w:shd w:val="clear" w:color="auto" w:fill="F2F2F2" w:themeFill="background1" w:themeFillShade="F2"/>
            <w:vAlign w:val="center"/>
          </w:tcPr>
          <w:p w14:paraId="571C6C97" w14:textId="5498EF07" w:rsidR="00E5289C" w:rsidRPr="00D968E2" w:rsidRDefault="00E5289C" w:rsidP="00BD0F0C">
            <w:pPr>
              <w:pStyle w:val="TableTextLeft-Arial"/>
            </w:pPr>
            <w:r w:rsidRPr="00D968E2">
              <w:t>2023/09</w:t>
            </w:r>
          </w:p>
        </w:tc>
        <w:tc>
          <w:tcPr>
            <w:tcW w:w="419" w:type="pct"/>
            <w:tcBorders>
              <w:top w:val="single" w:sz="4" w:space="0" w:color="1F497D"/>
            </w:tcBorders>
            <w:shd w:val="clear" w:color="auto" w:fill="F2F2F2" w:themeFill="background1" w:themeFillShade="F2"/>
            <w:vAlign w:val="center"/>
          </w:tcPr>
          <w:p w14:paraId="571C6C98" w14:textId="1A89F6DE" w:rsidR="00E5289C" w:rsidRPr="00D968E2" w:rsidRDefault="00D82641" w:rsidP="00BD0F0C">
            <w:pPr>
              <w:pStyle w:val="TableTextLeft-Arial"/>
            </w:pPr>
            <w:r w:rsidRPr="00D968E2">
              <w:t>657A,D&amp;E</w:t>
            </w:r>
          </w:p>
        </w:tc>
        <w:tc>
          <w:tcPr>
            <w:tcW w:w="1485" w:type="pct"/>
            <w:tcBorders>
              <w:top w:val="single" w:sz="4" w:space="0" w:color="1F497D"/>
            </w:tcBorders>
            <w:shd w:val="clear" w:color="auto" w:fill="F2F2F2" w:themeFill="background1" w:themeFillShade="F2"/>
            <w:vAlign w:val="center"/>
          </w:tcPr>
          <w:p w14:paraId="571C6C99" w14:textId="04F54619" w:rsidR="00E5289C" w:rsidRPr="00D968E2" w:rsidRDefault="00E5289C" w:rsidP="00BD0F0C">
            <w:pPr>
              <w:pStyle w:val="TableTextLeft-Arial"/>
            </w:pPr>
            <w:r w:rsidRPr="00D968E2">
              <w:t xml:space="preserve">Benjamin Hornigold </w:t>
            </w:r>
            <w:r w:rsidR="00ED47C4">
              <w:t>Limited</w:t>
            </w:r>
            <w:r w:rsidRPr="00D968E2">
              <w:t xml:space="preserve"> 12</w:t>
            </w:r>
          </w:p>
        </w:tc>
        <w:tc>
          <w:tcPr>
            <w:tcW w:w="1012" w:type="pct"/>
            <w:tcBorders>
              <w:top w:val="single" w:sz="4" w:space="0" w:color="1F497D"/>
            </w:tcBorders>
            <w:shd w:val="clear" w:color="auto" w:fill="F2F2F2" w:themeFill="background1" w:themeFillShade="F2"/>
            <w:vAlign w:val="center"/>
          </w:tcPr>
          <w:p w14:paraId="571C6C9A" w14:textId="7DB7516C" w:rsidR="00E5289C" w:rsidRPr="00D968E2" w:rsidRDefault="00E5289C" w:rsidP="00BD0F0C">
            <w:pPr>
              <w:pStyle w:val="TableTextLeft-Arial"/>
            </w:pPr>
            <w:r w:rsidRPr="00D968E2">
              <w:t>Decline to conduct</w:t>
            </w:r>
          </w:p>
        </w:tc>
        <w:tc>
          <w:tcPr>
            <w:tcW w:w="476" w:type="pct"/>
            <w:tcBorders>
              <w:top w:val="single" w:sz="4" w:space="0" w:color="1F497D"/>
            </w:tcBorders>
            <w:shd w:val="clear" w:color="auto" w:fill="F2F2F2" w:themeFill="background1" w:themeFillShade="F2"/>
            <w:vAlign w:val="center"/>
          </w:tcPr>
          <w:p w14:paraId="571C6C9B" w14:textId="032E3FC8" w:rsidR="00E5289C" w:rsidRPr="00D968E2" w:rsidRDefault="00E5289C" w:rsidP="00BD0F0C">
            <w:pPr>
              <w:pStyle w:val="TableTextLeft-Arial"/>
            </w:pPr>
            <w:r w:rsidRPr="00D968E2">
              <w:t>7/07/2023</w:t>
            </w:r>
          </w:p>
        </w:tc>
        <w:tc>
          <w:tcPr>
            <w:tcW w:w="476" w:type="pct"/>
            <w:tcBorders>
              <w:top w:val="single" w:sz="4" w:space="0" w:color="1F497D"/>
            </w:tcBorders>
            <w:shd w:val="clear" w:color="auto" w:fill="F2F2F2" w:themeFill="background1" w:themeFillShade="F2"/>
            <w:vAlign w:val="center"/>
          </w:tcPr>
          <w:p w14:paraId="571C6C9C" w14:textId="71992E9D" w:rsidR="00E5289C" w:rsidRPr="00D968E2" w:rsidRDefault="00E5289C" w:rsidP="00BD0F0C">
            <w:pPr>
              <w:pStyle w:val="TableTextLeft-Arial"/>
            </w:pPr>
            <w:r w:rsidRPr="00D968E2">
              <w:t>18/07/2023</w:t>
            </w:r>
          </w:p>
        </w:tc>
        <w:tc>
          <w:tcPr>
            <w:tcW w:w="417" w:type="pct"/>
            <w:tcBorders>
              <w:top w:val="single" w:sz="4" w:space="0" w:color="1F497D"/>
            </w:tcBorders>
            <w:shd w:val="clear" w:color="auto" w:fill="F2F2F2" w:themeFill="background1" w:themeFillShade="F2"/>
            <w:vAlign w:val="center"/>
          </w:tcPr>
          <w:p w14:paraId="12CA9D47" w14:textId="78305566" w:rsidR="00E5289C" w:rsidRPr="00D968E2" w:rsidRDefault="00E5289C" w:rsidP="00BD0F0C">
            <w:pPr>
              <w:pStyle w:val="TableTextRight-Arial"/>
              <w:jc w:val="left"/>
            </w:pPr>
            <w:r w:rsidRPr="00D968E2">
              <w:t>11</w:t>
            </w:r>
          </w:p>
        </w:tc>
      </w:tr>
      <w:bookmarkEnd w:id="503"/>
      <w:tr w:rsidR="00E5289C" w:rsidRPr="00D968E2" w14:paraId="571C6CA5" w14:textId="02007B3F" w:rsidTr="00BD0F0C">
        <w:trPr>
          <w:trHeight w:val="20"/>
        </w:trPr>
        <w:tc>
          <w:tcPr>
            <w:tcW w:w="238" w:type="pct"/>
            <w:vAlign w:val="center"/>
          </w:tcPr>
          <w:p w14:paraId="571C6C9E" w14:textId="2224DB3A" w:rsidR="00E5289C" w:rsidRPr="00D968E2" w:rsidRDefault="00E5289C" w:rsidP="00E5289C">
            <w:pPr>
              <w:pStyle w:val="TableColumnHeadingLeft"/>
              <w:jc w:val="center"/>
            </w:pPr>
            <w:r w:rsidRPr="00D968E2">
              <w:t>2</w:t>
            </w:r>
          </w:p>
        </w:tc>
        <w:tc>
          <w:tcPr>
            <w:tcW w:w="477" w:type="pct"/>
            <w:vAlign w:val="center"/>
          </w:tcPr>
          <w:p w14:paraId="571C6C9F" w14:textId="0A16D1F6" w:rsidR="00E5289C" w:rsidRPr="00D968E2" w:rsidRDefault="00E5289C" w:rsidP="00BD0F0C">
            <w:pPr>
              <w:pStyle w:val="TableTextLeft-Arial"/>
            </w:pPr>
            <w:r w:rsidRPr="00D968E2">
              <w:t>2023/10</w:t>
            </w:r>
          </w:p>
        </w:tc>
        <w:tc>
          <w:tcPr>
            <w:tcW w:w="419" w:type="pct"/>
            <w:vAlign w:val="center"/>
          </w:tcPr>
          <w:p w14:paraId="571C6CA0" w14:textId="4A980E5D" w:rsidR="00E5289C" w:rsidRPr="00D968E2" w:rsidRDefault="00D82641" w:rsidP="00BD0F0C">
            <w:pPr>
              <w:pStyle w:val="TableTextLeft-Arial"/>
            </w:pPr>
            <w:r w:rsidRPr="00D968E2">
              <w:t>657A,D&amp;E</w:t>
            </w:r>
          </w:p>
        </w:tc>
        <w:tc>
          <w:tcPr>
            <w:tcW w:w="1485" w:type="pct"/>
            <w:vAlign w:val="center"/>
          </w:tcPr>
          <w:p w14:paraId="571C6CA1" w14:textId="2EEF0341" w:rsidR="00E5289C" w:rsidRPr="00D968E2" w:rsidRDefault="00E5289C" w:rsidP="00BD0F0C">
            <w:pPr>
              <w:pStyle w:val="TableTextLeft-Arial"/>
            </w:pPr>
            <w:bookmarkStart w:id="504" w:name="_Hlk174377999"/>
            <w:r w:rsidRPr="00D968E2">
              <w:t>Bullseye Mining Limited 06</w:t>
            </w:r>
            <w:bookmarkEnd w:id="504"/>
          </w:p>
        </w:tc>
        <w:tc>
          <w:tcPr>
            <w:tcW w:w="1012" w:type="pct"/>
            <w:vAlign w:val="center"/>
          </w:tcPr>
          <w:p w14:paraId="571C6CA2" w14:textId="7CBBA9C5" w:rsidR="00E5289C" w:rsidRPr="00D968E2" w:rsidRDefault="00E5289C" w:rsidP="00BD0F0C">
            <w:pPr>
              <w:pStyle w:val="TableTextLeft-Arial"/>
            </w:pPr>
            <w:r w:rsidRPr="00D968E2">
              <w:t>Declaration and order(s)</w:t>
            </w:r>
          </w:p>
        </w:tc>
        <w:tc>
          <w:tcPr>
            <w:tcW w:w="476" w:type="pct"/>
            <w:vAlign w:val="center"/>
          </w:tcPr>
          <w:p w14:paraId="571C6CA3" w14:textId="2051919B" w:rsidR="00E5289C" w:rsidRPr="00D968E2" w:rsidRDefault="00E5289C" w:rsidP="00BD0F0C">
            <w:pPr>
              <w:pStyle w:val="TableTextLeft-Arial"/>
            </w:pPr>
            <w:r w:rsidRPr="00D968E2">
              <w:t>21/08/2023</w:t>
            </w:r>
          </w:p>
        </w:tc>
        <w:tc>
          <w:tcPr>
            <w:tcW w:w="476" w:type="pct"/>
            <w:vAlign w:val="center"/>
          </w:tcPr>
          <w:p w14:paraId="571C6CA4" w14:textId="1C9E26B0" w:rsidR="00E5289C" w:rsidRPr="00D968E2" w:rsidRDefault="00E5289C" w:rsidP="00BD0F0C">
            <w:pPr>
              <w:pStyle w:val="TableTextLeft-Arial"/>
            </w:pPr>
            <w:r w:rsidRPr="00D968E2">
              <w:t>5/10/2023</w:t>
            </w:r>
          </w:p>
        </w:tc>
        <w:tc>
          <w:tcPr>
            <w:tcW w:w="417" w:type="pct"/>
            <w:vAlign w:val="center"/>
          </w:tcPr>
          <w:p w14:paraId="6784DA2E" w14:textId="71492635" w:rsidR="00E5289C" w:rsidRPr="00D968E2" w:rsidRDefault="00E5289C" w:rsidP="00BD0F0C">
            <w:pPr>
              <w:pStyle w:val="TableTextRight-Arial"/>
              <w:jc w:val="left"/>
            </w:pPr>
            <w:r w:rsidRPr="00D968E2">
              <w:t>45</w:t>
            </w:r>
          </w:p>
        </w:tc>
      </w:tr>
      <w:tr w:rsidR="00E5289C" w:rsidRPr="00D968E2" w14:paraId="571C6CAD" w14:textId="6EB2FCB0" w:rsidTr="00BD0F0C">
        <w:trPr>
          <w:trHeight w:val="20"/>
        </w:trPr>
        <w:tc>
          <w:tcPr>
            <w:tcW w:w="238" w:type="pct"/>
            <w:shd w:val="clear" w:color="auto" w:fill="F2F2F2" w:themeFill="background1" w:themeFillShade="F2"/>
            <w:vAlign w:val="center"/>
          </w:tcPr>
          <w:p w14:paraId="571C6CA6" w14:textId="6220A525" w:rsidR="00E5289C" w:rsidRPr="00D968E2" w:rsidRDefault="00E5289C" w:rsidP="00E5289C">
            <w:pPr>
              <w:pStyle w:val="TableColumnHeadingLeft"/>
              <w:jc w:val="center"/>
            </w:pPr>
            <w:r w:rsidRPr="00D968E2">
              <w:t>3</w:t>
            </w:r>
          </w:p>
        </w:tc>
        <w:tc>
          <w:tcPr>
            <w:tcW w:w="477" w:type="pct"/>
            <w:shd w:val="clear" w:color="auto" w:fill="F2F2F2" w:themeFill="background1" w:themeFillShade="F2"/>
            <w:vAlign w:val="center"/>
          </w:tcPr>
          <w:p w14:paraId="571C6CA7" w14:textId="28818BDB" w:rsidR="00E5289C" w:rsidRPr="00D968E2" w:rsidRDefault="00E5289C" w:rsidP="00BD0F0C">
            <w:pPr>
              <w:pStyle w:val="TableTextLeft-Arial"/>
            </w:pPr>
            <w:r w:rsidRPr="00D968E2">
              <w:t>2023/11</w:t>
            </w:r>
          </w:p>
        </w:tc>
        <w:tc>
          <w:tcPr>
            <w:tcW w:w="419" w:type="pct"/>
            <w:shd w:val="clear" w:color="auto" w:fill="F2F2F2" w:themeFill="background1" w:themeFillShade="F2"/>
            <w:vAlign w:val="center"/>
          </w:tcPr>
          <w:p w14:paraId="571C6CA8" w14:textId="0B8A0D7A" w:rsidR="00E5289C" w:rsidRPr="00D968E2" w:rsidRDefault="00D82641" w:rsidP="00BD0F0C">
            <w:pPr>
              <w:pStyle w:val="TableTextLeft-Arial"/>
            </w:pPr>
            <w:r w:rsidRPr="00D968E2">
              <w:t>657A,D&amp;E</w:t>
            </w:r>
          </w:p>
        </w:tc>
        <w:tc>
          <w:tcPr>
            <w:tcW w:w="1485" w:type="pct"/>
            <w:shd w:val="clear" w:color="auto" w:fill="F2F2F2" w:themeFill="background1" w:themeFillShade="F2"/>
            <w:vAlign w:val="center"/>
          </w:tcPr>
          <w:p w14:paraId="571C6CA9" w14:textId="225CAEC1" w:rsidR="00E5289C" w:rsidRPr="00D968E2" w:rsidRDefault="00E5289C" w:rsidP="00BD0F0C">
            <w:pPr>
              <w:pStyle w:val="TableTextLeft-Arial"/>
            </w:pPr>
            <w:bookmarkStart w:id="505" w:name="_Hlk174364869"/>
            <w:r w:rsidRPr="00D968E2">
              <w:t>Southern Cross Media Group Limited</w:t>
            </w:r>
            <w:bookmarkEnd w:id="505"/>
          </w:p>
        </w:tc>
        <w:tc>
          <w:tcPr>
            <w:tcW w:w="1012" w:type="pct"/>
            <w:shd w:val="clear" w:color="auto" w:fill="F2F2F2" w:themeFill="background1" w:themeFillShade="F2"/>
            <w:vAlign w:val="center"/>
          </w:tcPr>
          <w:p w14:paraId="571C6CAA" w14:textId="466CEF6A" w:rsidR="00E5289C" w:rsidRPr="00D968E2" w:rsidRDefault="00E5289C" w:rsidP="00BD0F0C">
            <w:pPr>
              <w:pStyle w:val="TableTextLeft-Arial"/>
            </w:pPr>
            <w:r w:rsidRPr="00D968E2">
              <w:t>Declaration and order(s)</w:t>
            </w:r>
          </w:p>
        </w:tc>
        <w:tc>
          <w:tcPr>
            <w:tcW w:w="476" w:type="pct"/>
            <w:shd w:val="clear" w:color="auto" w:fill="F2F2F2" w:themeFill="background1" w:themeFillShade="F2"/>
            <w:vAlign w:val="center"/>
          </w:tcPr>
          <w:p w14:paraId="571C6CAB" w14:textId="744BB8C1" w:rsidR="00E5289C" w:rsidRPr="00D968E2" w:rsidRDefault="00E5289C" w:rsidP="00BD0F0C">
            <w:pPr>
              <w:pStyle w:val="TableTextLeft-Arial"/>
            </w:pPr>
            <w:r w:rsidRPr="00D968E2">
              <w:t>24/10/2023</w:t>
            </w:r>
          </w:p>
        </w:tc>
        <w:tc>
          <w:tcPr>
            <w:tcW w:w="476" w:type="pct"/>
            <w:shd w:val="clear" w:color="auto" w:fill="F2F2F2" w:themeFill="background1" w:themeFillShade="F2"/>
            <w:vAlign w:val="center"/>
          </w:tcPr>
          <w:p w14:paraId="571C6CAC" w14:textId="7A3EE5E8" w:rsidR="00E5289C" w:rsidRPr="00D968E2" w:rsidRDefault="00E5289C" w:rsidP="00BD0F0C">
            <w:pPr>
              <w:pStyle w:val="TableTextLeft-Arial"/>
            </w:pPr>
            <w:r w:rsidRPr="00D968E2">
              <w:t>22/11/2023</w:t>
            </w:r>
          </w:p>
        </w:tc>
        <w:tc>
          <w:tcPr>
            <w:tcW w:w="417" w:type="pct"/>
            <w:shd w:val="clear" w:color="auto" w:fill="F2F2F2" w:themeFill="background1" w:themeFillShade="F2"/>
            <w:vAlign w:val="center"/>
          </w:tcPr>
          <w:p w14:paraId="6394E4F2" w14:textId="1E4BBEB6" w:rsidR="00E5289C" w:rsidRPr="00D968E2" w:rsidRDefault="00E5289C" w:rsidP="00BD0F0C">
            <w:pPr>
              <w:pStyle w:val="TableTextRight-Arial"/>
              <w:jc w:val="left"/>
            </w:pPr>
            <w:r w:rsidRPr="00D968E2">
              <w:t>29</w:t>
            </w:r>
          </w:p>
        </w:tc>
      </w:tr>
      <w:tr w:rsidR="00E5289C" w:rsidRPr="00D968E2" w14:paraId="571C6CB5" w14:textId="621FFF3D" w:rsidTr="00BD0F0C">
        <w:trPr>
          <w:trHeight w:val="20"/>
        </w:trPr>
        <w:tc>
          <w:tcPr>
            <w:tcW w:w="238" w:type="pct"/>
            <w:vAlign w:val="center"/>
          </w:tcPr>
          <w:p w14:paraId="571C6CAE" w14:textId="6E1D0219" w:rsidR="00E5289C" w:rsidRPr="00D968E2" w:rsidRDefault="00E5289C" w:rsidP="00E5289C">
            <w:pPr>
              <w:pStyle w:val="TableColumnHeadingLeft"/>
              <w:jc w:val="center"/>
            </w:pPr>
            <w:r w:rsidRPr="00D968E2">
              <w:t>4</w:t>
            </w:r>
          </w:p>
        </w:tc>
        <w:tc>
          <w:tcPr>
            <w:tcW w:w="477" w:type="pct"/>
            <w:vAlign w:val="center"/>
          </w:tcPr>
          <w:p w14:paraId="571C6CAF" w14:textId="0CDF20F6" w:rsidR="00E5289C" w:rsidRPr="00D968E2" w:rsidRDefault="00E5289C" w:rsidP="00BD0F0C">
            <w:pPr>
              <w:pStyle w:val="TableTextLeft-Arial"/>
            </w:pPr>
            <w:r w:rsidRPr="00D968E2">
              <w:t>2023/12</w:t>
            </w:r>
          </w:p>
        </w:tc>
        <w:tc>
          <w:tcPr>
            <w:tcW w:w="419" w:type="pct"/>
            <w:vAlign w:val="center"/>
          </w:tcPr>
          <w:p w14:paraId="571C6CB0" w14:textId="6331A077" w:rsidR="00E5289C" w:rsidRPr="00D968E2" w:rsidRDefault="00D82641" w:rsidP="00BD0F0C">
            <w:pPr>
              <w:pStyle w:val="TableTextLeft-Arial"/>
            </w:pPr>
            <w:r w:rsidRPr="00D968E2">
              <w:t>657A,D&amp;E</w:t>
            </w:r>
          </w:p>
        </w:tc>
        <w:tc>
          <w:tcPr>
            <w:tcW w:w="1485" w:type="pct"/>
            <w:vAlign w:val="center"/>
          </w:tcPr>
          <w:p w14:paraId="571C6CB1" w14:textId="58A8E94B" w:rsidR="00E5289C" w:rsidRPr="00D968E2" w:rsidRDefault="00E5289C" w:rsidP="00BD0F0C">
            <w:pPr>
              <w:pStyle w:val="TableTextLeft-Arial"/>
            </w:pPr>
            <w:bookmarkStart w:id="506" w:name="_Hlk174365043"/>
            <w:r w:rsidRPr="00D968E2">
              <w:t>Whitehaven Coal Limited</w:t>
            </w:r>
            <w:bookmarkEnd w:id="506"/>
          </w:p>
        </w:tc>
        <w:tc>
          <w:tcPr>
            <w:tcW w:w="1012" w:type="pct"/>
            <w:vAlign w:val="center"/>
          </w:tcPr>
          <w:p w14:paraId="571C6CB2" w14:textId="5C29914B" w:rsidR="00E5289C" w:rsidRPr="00D968E2" w:rsidRDefault="00E5289C" w:rsidP="00BD0F0C">
            <w:pPr>
              <w:pStyle w:val="TableTextLeft-Arial"/>
            </w:pPr>
            <w:r w:rsidRPr="00D968E2">
              <w:t>Declaration and order(s)</w:t>
            </w:r>
          </w:p>
        </w:tc>
        <w:tc>
          <w:tcPr>
            <w:tcW w:w="476" w:type="pct"/>
            <w:vAlign w:val="center"/>
          </w:tcPr>
          <w:p w14:paraId="571C6CB3" w14:textId="17FBC5F7" w:rsidR="00E5289C" w:rsidRPr="00D968E2" w:rsidRDefault="00E5289C" w:rsidP="00BD0F0C">
            <w:pPr>
              <w:pStyle w:val="TableTextLeft-Arial"/>
            </w:pPr>
            <w:r w:rsidRPr="00D968E2">
              <w:t>24/10/2023</w:t>
            </w:r>
          </w:p>
        </w:tc>
        <w:tc>
          <w:tcPr>
            <w:tcW w:w="476" w:type="pct"/>
            <w:vAlign w:val="center"/>
          </w:tcPr>
          <w:p w14:paraId="571C6CB4" w14:textId="5A06E96B" w:rsidR="00E5289C" w:rsidRPr="00D968E2" w:rsidRDefault="00E5289C" w:rsidP="00BD0F0C">
            <w:pPr>
              <w:pStyle w:val="TableTextLeft-Arial"/>
            </w:pPr>
            <w:r w:rsidRPr="00D968E2">
              <w:t>21/11/2023</w:t>
            </w:r>
          </w:p>
        </w:tc>
        <w:tc>
          <w:tcPr>
            <w:tcW w:w="417" w:type="pct"/>
            <w:vAlign w:val="center"/>
          </w:tcPr>
          <w:p w14:paraId="008FB383" w14:textId="5ADFFE8B" w:rsidR="00E5289C" w:rsidRPr="00D968E2" w:rsidRDefault="00E5289C" w:rsidP="00BD0F0C">
            <w:pPr>
              <w:pStyle w:val="TableTextRight-Arial"/>
              <w:jc w:val="left"/>
            </w:pPr>
            <w:r w:rsidRPr="00D968E2">
              <w:t>28</w:t>
            </w:r>
          </w:p>
        </w:tc>
      </w:tr>
      <w:tr w:rsidR="00E5289C" w:rsidRPr="00D968E2" w14:paraId="571C6CBD" w14:textId="23E64EBB" w:rsidTr="00BD0F0C">
        <w:trPr>
          <w:trHeight w:val="20"/>
        </w:trPr>
        <w:tc>
          <w:tcPr>
            <w:tcW w:w="238" w:type="pct"/>
            <w:shd w:val="clear" w:color="auto" w:fill="F2F2F2" w:themeFill="background1" w:themeFillShade="F2"/>
            <w:vAlign w:val="center"/>
          </w:tcPr>
          <w:p w14:paraId="571C6CB6" w14:textId="08E10EAD" w:rsidR="00E5289C" w:rsidRPr="00D968E2" w:rsidRDefault="00E5289C" w:rsidP="00E5289C">
            <w:pPr>
              <w:pStyle w:val="TableColumnHeadingLeft"/>
              <w:jc w:val="center"/>
            </w:pPr>
            <w:r w:rsidRPr="00D968E2">
              <w:t>5</w:t>
            </w:r>
          </w:p>
        </w:tc>
        <w:tc>
          <w:tcPr>
            <w:tcW w:w="477" w:type="pct"/>
            <w:shd w:val="clear" w:color="auto" w:fill="F2F2F2" w:themeFill="background1" w:themeFillShade="F2"/>
            <w:vAlign w:val="center"/>
          </w:tcPr>
          <w:p w14:paraId="571C6CB7" w14:textId="67002D05" w:rsidR="00E5289C" w:rsidRPr="00D968E2" w:rsidRDefault="00E5289C" w:rsidP="00BD0F0C">
            <w:pPr>
              <w:pStyle w:val="TableTextLeft-Arial"/>
            </w:pPr>
            <w:r w:rsidRPr="00D968E2">
              <w:t>2023/13</w:t>
            </w:r>
          </w:p>
        </w:tc>
        <w:tc>
          <w:tcPr>
            <w:tcW w:w="419" w:type="pct"/>
            <w:shd w:val="clear" w:color="auto" w:fill="F2F2F2" w:themeFill="background1" w:themeFillShade="F2"/>
            <w:vAlign w:val="center"/>
          </w:tcPr>
          <w:p w14:paraId="571C6CB8" w14:textId="13CFE12D" w:rsidR="00E5289C" w:rsidRPr="00D968E2" w:rsidRDefault="00D82641" w:rsidP="00BD0F0C">
            <w:pPr>
              <w:pStyle w:val="TableTextLeft-Arial"/>
            </w:pPr>
            <w:r w:rsidRPr="00D968E2">
              <w:t>657A,D&amp;E</w:t>
            </w:r>
          </w:p>
        </w:tc>
        <w:tc>
          <w:tcPr>
            <w:tcW w:w="1485" w:type="pct"/>
            <w:shd w:val="clear" w:color="auto" w:fill="F2F2F2" w:themeFill="background1" w:themeFillShade="F2"/>
            <w:vAlign w:val="center"/>
          </w:tcPr>
          <w:p w14:paraId="571C6CB9" w14:textId="630AD183" w:rsidR="00E5289C" w:rsidRPr="00D968E2" w:rsidRDefault="00E5289C" w:rsidP="00BD0F0C">
            <w:pPr>
              <w:pStyle w:val="TableTextLeft-Arial"/>
            </w:pPr>
            <w:bookmarkStart w:id="507" w:name="_Hlk174378056"/>
            <w:r w:rsidRPr="00D968E2">
              <w:t>Mighty Kingdom Limited</w:t>
            </w:r>
            <w:bookmarkEnd w:id="507"/>
          </w:p>
        </w:tc>
        <w:tc>
          <w:tcPr>
            <w:tcW w:w="1012" w:type="pct"/>
            <w:shd w:val="clear" w:color="auto" w:fill="F2F2F2" w:themeFill="background1" w:themeFillShade="F2"/>
            <w:vAlign w:val="center"/>
          </w:tcPr>
          <w:p w14:paraId="571C6CBA" w14:textId="41B7D7A4" w:rsidR="00E5289C" w:rsidRPr="00D968E2" w:rsidRDefault="00E5289C" w:rsidP="00BD0F0C">
            <w:pPr>
              <w:pStyle w:val="TableTextLeft-Arial"/>
            </w:pPr>
            <w:r w:rsidRPr="00D968E2">
              <w:t>Conducted, no declaration, undertaking/action by party</w:t>
            </w:r>
          </w:p>
        </w:tc>
        <w:tc>
          <w:tcPr>
            <w:tcW w:w="476" w:type="pct"/>
            <w:shd w:val="clear" w:color="auto" w:fill="F2F2F2" w:themeFill="background1" w:themeFillShade="F2"/>
            <w:vAlign w:val="center"/>
          </w:tcPr>
          <w:p w14:paraId="571C6CBB" w14:textId="30E66654" w:rsidR="00E5289C" w:rsidRPr="00D968E2" w:rsidRDefault="00E5289C" w:rsidP="00BD0F0C">
            <w:pPr>
              <w:pStyle w:val="TableTextLeft-Arial"/>
            </w:pPr>
            <w:r w:rsidRPr="00D968E2">
              <w:t>20/11/2023</w:t>
            </w:r>
          </w:p>
        </w:tc>
        <w:tc>
          <w:tcPr>
            <w:tcW w:w="476" w:type="pct"/>
            <w:shd w:val="clear" w:color="auto" w:fill="F2F2F2" w:themeFill="background1" w:themeFillShade="F2"/>
            <w:vAlign w:val="center"/>
          </w:tcPr>
          <w:p w14:paraId="571C6CBC" w14:textId="56359CB0" w:rsidR="00E5289C" w:rsidRPr="00D968E2" w:rsidRDefault="00E5289C" w:rsidP="00BD0F0C">
            <w:pPr>
              <w:pStyle w:val="TableTextLeft-Arial"/>
            </w:pPr>
            <w:r w:rsidRPr="00D968E2">
              <w:t>15/12/2023</w:t>
            </w:r>
          </w:p>
        </w:tc>
        <w:tc>
          <w:tcPr>
            <w:tcW w:w="417" w:type="pct"/>
            <w:shd w:val="clear" w:color="auto" w:fill="F2F2F2" w:themeFill="background1" w:themeFillShade="F2"/>
            <w:vAlign w:val="center"/>
          </w:tcPr>
          <w:p w14:paraId="556720DE" w14:textId="5E34FDB3" w:rsidR="00E5289C" w:rsidRPr="00D968E2" w:rsidRDefault="00E5289C" w:rsidP="00BD0F0C">
            <w:pPr>
              <w:pStyle w:val="TableTextRight-Arial"/>
              <w:jc w:val="left"/>
            </w:pPr>
            <w:r w:rsidRPr="00D968E2">
              <w:t>25</w:t>
            </w:r>
          </w:p>
        </w:tc>
      </w:tr>
      <w:tr w:rsidR="00E5289C" w:rsidRPr="00D968E2" w14:paraId="571C6CC5" w14:textId="7064CE2F" w:rsidTr="00BD0F0C">
        <w:trPr>
          <w:trHeight w:val="20"/>
        </w:trPr>
        <w:tc>
          <w:tcPr>
            <w:tcW w:w="238" w:type="pct"/>
            <w:vAlign w:val="center"/>
          </w:tcPr>
          <w:p w14:paraId="571C6CBE" w14:textId="14D694F2" w:rsidR="00E5289C" w:rsidRPr="00D968E2" w:rsidRDefault="00E5289C" w:rsidP="00E5289C">
            <w:pPr>
              <w:pStyle w:val="TableColumnHeadingLeft"/>
              <w:jc w:val="center"/>
            </w:pPr>
            <w:bookmarkStart w:id="508" w:name="_Hlk174365056"/>
            <w:r w:rsidRPr="00D968E2">
              <w:t>6</w:t>
            </w:r>
          </w:p>
        </w:tc>
        <w:tc>
          <w:tcPr>
            <w:tcW w:w="477" w:type="pct"/>
            <w:vAlign w:val="center"/>
          </w:tcPr>
          <w:p w14:paraId="571C6CBF" w14:textId="0CCC06BD" w:rsidR="00E5289C" w:rsidRPr="00D968E2" w:rsidRDefault="00E5289C" w:rsidP="00BD0F0C">
            <w:pPr>
              <w:pStyle w:val="TableTextLeft-Arial"/>
            </w:pPr>
            <w:r w:rsidRPr="00D968E2">
              <w:t>2023/14</w:t>
            </w:r>
          </w:p>
        </w:tc>
        <w:tc>
          <w:tcPr>
            <w:tcW w:w="419" w:type="pct"/>
            <w:vAlign w:val="center"/>
          </w:tcPr>
          <w:p w14:paraId="571C6CC0" w14:textId="1D31ADF5" w:rsidR="00E5289C" w:rsidRPr="00D968E2" w:rsidRDefault="00466223" w:rsidP="00BD0F0C">
            <w:pPr>
              <w:pStyle w:val="TableTextLeft-Arial"/>
            </w:pPr>
            <w:r w:rsidRPr="00D968E2">
              <w:t>657EA</w:t>
            </w:r>
          </w:p>
        </w:tc>
        <w:tc>
          <w:tcPr>
            <w:tcW w:w="1485" w:type="pct"/>
            <w:vAlign w:val="center"/>
          </w:tcPr>
          <w:p w14:paraId="571C6CC1" w14:textId="311484AE" w:rsidR="00E5289C" w:rsidRPr="00D968E2" w:rsidRDefault="00E5289C" w:rsidP="00BD0F0C">
            <w:pPr>
              <w:pStyle w:val="TableTextLeft-Arial"/>
            </w:pPr>
            <w:r w:rsidRPr="00D968E2">
              <w:t>Whitehaven Coal Limited 02R</w:t>
            </w:r>
          </w:p>
        </w:tc>
        <w:tc>
          <w:tcPr>
            <w:tcW w:w="1012" w:type="pct"/>
            <w:vAlign w:val="center"/>
          </w:tcPr>
          <w:p w14:paraId="571C6CC2" w14:textId="44D88FE9" w:rsidR="00E5289C" w:rsidRPr="00D968E2" w:rsidRDefault="00E5289C" w:rsidP="00BD0F0C">
            <w:pPr>
              <w:pStyle w:val="TableTextLeft-Arial"/>
            </w:pPr>
            <w:r w:rsidRPr="00D968E2">
              <w:t>Withdrawn</w:t>
            </w:r>
          </w:p>
        </w:tc>
        <w:tc>
          <w:tcPr>
            <w:tcW w:w="476" w:type="pct"/>
            <w:vAlign w:val="center"/>
          </w:tcPr>
          <w:p w14:paraId="571C6CC3" w14:textId="11F076F1" w:rsidR="00E5289C" w:rsidRPr="00D968E2" w:rsidRDefault="00E5289C" w:rsidP="00BD0F0C">
            <w:pPr>
              <w:pStyle w:val="TableTextLeft-Arial"/>
            </w:pPr>
            <w:r w:rsidRPr="00D968E2">
              <w:t>23/11/2023</w:t>
            </w:r>
          </w:p>
        </w:tc>
        <w:tc>
          <w:tcPr>
            <w:tcW w:w="476" w:type="pct"/>
            <w:vAlign w:val="center"/>
          </w:tcPr>
          <w:p w14:paraId="571C6CC4" w14:textId="61C8FE93" w:rsidR="00E5289C" w:rsidRPr="00D968E2" w:rsidRDefault="00E5289C" w:rsidP="00BD0F0C">
            <w:pPr>
              <w:pStyle w:val="TableTextLeft-Arial"/>
            </w:pPr>
            <w:r w:rsidRPr="00D968E2">
              <w:t>29/11/2023</w:t>
            </w:r>
          </w:p>
        </w:tc>
        <w:tc>
          <w:tcPr>
            <w:tcW w:w="417" w:type="pct"/>
            <w:vAlign w:val="center"/>
          </w:tcPr>
          <w:p w14:paraId="6646C806" w14:textId="31F5A8C0" w:rsidR="00E5289C" w:rsidRPr="00D968E2" w:rsidRDefault="00E5289C" w:rsidP="00BD0F0C">
            <w:pPr>
              <w:pStyle w:val="TableTextRight-Arial"/>
              <w:jc w:val="left"/>
            </w:pPr>
            <w:r w:rsidRPr="00D968E2">
              <w:t>6</w:t>
            </w:r>
          </w:p>
        </w:tc>
      </w:tr>
      <w:bookmarkEnd w:id="508"/>
      <w:tr w:rsidR="00E5289C" w:rsidRPr="00D968E2" w14:paraId="571C6CCD" w14:textId="44747E33" w:rsidTr="00BD0F0C">
        <w:trPr>
          <w:trHeight w:val="20"/>
        </w:trPr>
        <w:tc>
          <w:tcPr>
            <w:tcW w:w="238" w:type="pct"/>
            <w:shd w:val="clear" w:color="auto" w:fill="F2F2F2" w:themeFill="background1" w:themeFillShade="F2"/>
            <w:vAlign w:val="center"/>
          </w:tcPr>
          <w:p w14:paraId="571C6CC6" w14:textId="0C4DB35C" w:rsidR="00E5289C" w:rsidRPr="00D968E2" w:rsidRDefault="00E5289C" w:rsidP="00E5289C">
            <w:pPr>
              <w:pStyle w:val="TableColumnHeadingLeft"/>
              <w:jc w:val="center"/>
            </w:pPr>
            <w:r w:rsidRPr="00D968E2">
              <w:t>7</w:t>
            </w:r>
          </w:p>
        </w:tc>
        <w:tc>
          <w:tcPr>
            <w:tcW w:w="477" w:type="pct"/>
            <w:shd w:val="clear" w:color="auto" w:fill="F2F2F2" w:themeFill="background1" w:themeFillShade="F2"/>
            <w:vAlign w:val="center"/>
          </w:tcPr>
          <w:p w14:paraId="571C6CC7" w14:textId="0A2B460C" w:rsidR="00E5289C" w:rsidRPr="00D968E2" w:rsidRDefault="00E5289C" w:rsidP="00BD0F0C">
            <w:pPr>
              <w:pStyle w:val="TableTextLeft-Arial"/>
            </w:pPr>
            <w:r w:rsidRPr="00D968E2">
              <w:t>2023/15</w:t>
            </w:r>
          </w:p>
        </w:tc>
        <w:tc>
          <w:tcPr>
            <w:tcW w:w="419" w:type="pct"/>
            <w:shd w:val="clear" w:color="auto" w:fill="F2F2F2" w:themeFill="background1" w:themeFillShade="F2"/>
            <w:vAlign w:val="center"/>
          </w:tcPr>
          <w:p w14:paraId="571C6CC8" w14:textId="1834DD0D" w:rsidR="00E5289C" w:rsidRPr="00D968E2" w:rsidRDefault="00466223" w:rsidP="00BD0F0C">
            <w:pPr>
              <w:pStyle w:val="TableTextLeft-Arial"/>
            </w:pPr>
            <w:r w:rsidRPr="00D968E2">
              <w:t>657EA</w:t>
            </w:r>
          </w:p>
        </w:tc>
        <w:tc>
          <w:tcPr>
            <w:tcW w:w="1485" w:type="pct"/>
            <w:shd w:val="clear" w:color="auto" w:fill="F2F2F2" w:themeFill="background1" w:themeFillShade="F2"/>
            <w:vAlign w:val="center"/>
          </w:tcPr>
          <w:p w14:paraId="571C6CC9" w14:textId="7B32C4E0" w:rsidR="00E5289C" w:rsidRPr="00D968E2" w:rsidRDefault="00E5289C" w:rsidP="00BD0F0C">
            <w:pPr>
              <w:pStyle w:val="TableTextLeft-Arial"/>
            </w:pPr>
            <w:bookmarkStart w:id="509" w:name="_Hlk174364881"/>
            <w:r w:rsidRPr="00D968E2">
              <w:t>Southern Cross Media Group Limited 02R</w:t>
            </w:r>
            <w:bookmarkEnd w:id="509"/>
          </w:p>
        </w:tc>
        <w:tc>
          <w:tcPr>
            <w:tcW w:w="1012" w:type="pct"/>
            <w:shd w:val="clear" w:color="auto" w:fill="F2F2F2" w:themeFill="background1" w:themeFillShade="F2"/>
            <w:vAlign w:val="center"/>
          </w:tcPr>
          <w:p w14:paraId="571C6CCA" w14:textId="4315B59C" w:rsidR="00E5289C" w:rsidRPr="00D968E2" w:rsidRDefault="00E5289C" w:rsidP="00BD0F0C">
            <w:pPr>
              <w:pStyle w:val="TableTextLeft-Arial"/>
            </w:pPr>
            <w:r w:rsidRPr="00D968E2">
              <w:t>Declaration and order(s)</w:t>
            </w:r>
          </w:p>
        </w:tc>
        <w:tc>
          <w:tcPr>
            <w:tcW w:w="476" w:type="pct"/>
            <w:shd w:val="clear" w:color="auto" w:fill="F2F2F2" w:themeFill="background1" w:themeFillShade="F2"/>
            <w:vAlign w:val="center"/>
          </w:tcPr>
          <w:p w14:paraId="571C6CCB" w14:textId="510FA788" w:rsidR="00E5289C" w:rsidRPr="00D968E2" w:rsidRDefault="00E5289C" w:rsidP="00BD0F0C">
            <w:pPr>
              <w:pStyle w:val="TableTextLeft-Arial"/>
            </w:pPr>
            <w:r w:rsidRPr="00D968E2">
              <w:t>24/11/2023</w:t>
            </w:r>
          </w:p>
        </w:tc>
        <w:tc>
          <w:tcPr>
            <w:tcW w:w="476" w:type="pct"/>
            <w:shd w:val="clear" w:color="auto" w:fill="F2F2F2" w:themeFill="background1" w:themeFillShade="F2"/>
            <w:vAlign w:val="center"/>
          </w:tcPr>
          <w:p w14:paraId="571C6CCC" w14:textId="76DB4A28" w:rsidR="00E5289C" w:rsidRPr="00D968E2" w:rsidRDefault="00E5289C" w:rsidP="00BD0F0C">
            <w:pPr>
              <w:pStyle w:val="TableTextLeft-Arial"/>
            </w:pPr>
            <w:r w:rsidRPr="00D968E2">
              <w:t>21/12/2023</w:t>
            </w:r>
          </w:p>
        </w:tc>
        <w:tc>
          <w:tcPr>
            <w:tcW w:w="417" w:type="pct"/>
            <w:shd w:val="clear" w:color="auto" w:fill="F2F2F2" w:themeFill="background1" w:themeFillShade="F2"/>
            <w:vAlign w:val="center"/>
          </w:tcPr>
          <w:p w14:paraId="441A3335" w14:textId="385796BB" w:rsidR="00E5289C" w:rsidRPr="00D968E2" w:rsidRDefault="00E5289C" w:rsidP="00BD0F0C">
            <w:pPr>
              <w:pStyle w:val="TableTextRight-Arial"/>
              <w:jc w:val="left"/>
            </w:pPr>
            <w:r w:rsidRPr="00D968E2">
              <w:t>27</w:t>
            </w:r>
          </w:p>
        </w:tc>
      </w:tr>
      <w:tr w:rsidR="00E5289C" w:rsidRPr="00D968E2" w14:paraId="571C6CD5" w14:textId="3C2B5970" w:rsidTr="00BD0F0C">
        <w:trPr>
          <w:trHeight w:val="20"/>
        </w:trPr>
        <w:tc>
          <w:tcPr>
            <w:tcW w:w="238" w:type="pct"/>
            <w:vAlign w:val="center"/>
          </w:tcPr>
          <w:p w14:paraId="571C6CCE" w14:textId="477773ED" w:rsidR="00E5289C" w:rsidRPr="00D968E2" w:rsidRDefault="00E5289C" w:rsidP="00E5289C">
            <w:pPr>
              <w:pStyle w:val="TableColumnHeadingLeft"/>
              <w:jc w:val="center"/>
            </w:pPr>
            <w:r w:rsidRPr="00D968E2">
              <w:t>8</w:t>
            </w:r>
          </w:p>
        </w:tc>
        <w:tc>
          <w:tcPr>
            <w:tcW w:w="477" w:type="pct"/>
            <w:vAlign w:val="center"/>
          </w:tcPr>
          <w:p w14:paraId="571C6CCF" w14:textId="392AF57B" w:rsidR="00E5289C" w:rsidRPr="00D968E2" w:rsidRDefault="00E5289C" w:rsidP="00BD0F0C">
            <w:pPr>
              <w:pStyle w:val="TableTextLeft-Arial"/>
            </w:pPr>
            <w:r w:rsidRPr="00D968E2">
              <w:t>2023/16</w:t>
            </w:r>
          </w:p>
        </w:tc>
        <w:tc>
          <w:tcPr>
            <w:tcW w:w="419" w:type="pct"/>
            <w:vAlign w:val="center"/>
          </w:tcPr>
          <w:p w14:paraId="571C6CD0" w14:textId="1C60F786" w:rsidR="00E5289C" w:rsidRPr="00D968E2" w:rsidRDefault="00466223" w:rsidP="00BD0F0C">
            <w:pPr>
              <w:pStyle w:val="TableTextLeft-Arial"/>
            </w:pPr>
            <w:r w:rsidRPr="00D968E2">
              <w:t>657EA</w:t>
            </w:r>
          </w:p>
        </w:tc>
        <w:tc>
          <w:tcPr>
            <w:tcW w:w="1485" w:type="pct"/>
            <w:vAlign w:val="center"/>
          </w:tcPr>
          <w:p w14:paraId="571C6CD1" w14:textId="65B7B205" w:rsidR="00E5289C" w:rsidRPr="00D968E2" w:rsidRDefault="00E5289C" w:rsidP="00BD0F0C">
            <w:pPr>
              <w:pStyle w:val="TableTextLeft-Arial"/>
            </w:pPr>
            <w:bookmarkStart w:id="510" w:name="_Hlk174364889"/>
            <w:r w:rsidRPr="00D968E2">
              <w:t>Southern Cross Media Group Limited 03R</w:t>
            </w:r>
            <w:bookmarkEnd w:id="510"/>
          </w:p>
        </w:tc>
        <w:tc>
          <w:tcPr>
            <w:tcW w:w="1012" w:type="pct"/>
            <w:vAlign w:val="center"/>
          </w:tcPr>
          <w:p w14:paraId="571C6CD2" w14:textId="32E504F4" w:rsidR="00E5289C" w:rsidRPr="00D968E2" w:rsidRDefault="00E5289C" w:rsidP="00BD0F0C">
            <w:pPr>
              <w:pStyle w:val="TableTextLeft-Arial"/>
            </w:pPr>
            <w:r w:rsidRPr="00D968E2">
              <w:t>Declaration and order(s)</w:t>
            </w:r>
          </w:p>
        </w:tc>
        <w:tc>
          <w:tcPr>
            <w:tcW w:w="476" w:type="pct"/>
            <w:vAlign w:val="center"/>
          </w:tcPr>
          <w:p w14:paraId="571C6CD3" w14:textId="609AFE25" w:rsidR="00E5289C" w:rsidRPr="00D968E2" w:rsidRDefault="00E5289C" w:rsidP="00BD0F0C">
            <w:pPr>
              <w:pStyle w:val="TableTextLeft-Arial"/>
            </w:pPr>
            <w:r w:rsidRPr="00D968E2">
              <w:t>6/12/2023</w:t>
            </w:r>
          </w:p>
        </w:tc>
        <w:tc>
          <w:tcPr>
            <w:tcW w:w="476" w:type="pct"/>
            <w:vAlign w:val="center"/>
          </w:tcPr>
          <w:p w14:paraId="571C6CD4" w14:textId="55B8CAEE" w:rsidR="00E5289C" w:rsidRPr="00D968E2" w:rsidRDefault="00E5289C" w:rsidP="00BD0F0C">
            <w:pPr>
              <w:pStyle w:val="TableTextLeft-Arial"/>
            </w:pPr>
            <w:r w:rsidRPr="00D968E2">
              <w:t>17/01/2024</w:t>
            </w:r>
          </w:p>
        </w:tc>
        <w:tc>
          <w:tcPr>
            <w:tcW w:w="417" w:type="pct"/>
            <w:vAlign w:val="center"/>
          </w:tcPr>
          <w:p w14:paraId="6612E7B7" w14:textId="133E5AA1" w:rsidR="00E5289C" w:rsidRPr="00D968E2" w:rsidRDefault="00E5289C" w:rsidP="00BD0F0C">
            <w:pPr>
              <w:pStyle w:val="TableTextRight-Arial"/>
              <w:jc w:val="left"/>
            </w:pPr>
            <w:r w:rsidRPr="00D968E2">
              <w:t>42</w:t>
            </w:r>
          </w:p>
        </w:tc>
      </w:tr>
      <w:tr w:rsidR="00E5289C" w:rsidRPr="00D968E2" w14:paraId="571C6CDD" w14:textId="7E504300" w:rsidTr="00BD0F0C">
        <w:trPr>
          <w:trHeight w:val="20"/>
        </w:trPr>
        <w:tc>
          <w:tcPr>
            <w:tcW w:w="238" w:type="pct"/>
            <w:shd w:val="clear" w:color="auto" w:fill="F2F2F2" w:themeFill="background1" w:themeFillShade="F2"/>
            <w:vAlign w:val="center"/>
          </w:tcPr>
          <w:p w14:paraId="571C6CD6" w14:textId="7232AD25" w:rsidR="00E5289C" w:rsidRPr="00D968E2" w:rsidRDefault="00E5289C" w:rsidP="00E5289C">
            <w:pPr>
              <w:pStyle w:val="TableColumnHeadingLeft"/>
              <w:jc w:val="center"/>
            </w:pPr>
            <w:r w:rsidRPr="00D968E2">
              <w:t>9</w:t>
            </w:r>
          </w:p>
        </w:tc>
        <w:tc>
          <w:tcPr>
            <w:tcW w:w="477" w:type="pct"/>
            <w:shd w:val="clear" w:color="auto" w:fill="F2F2F2" w:themeFill="background1" w:themeFillShade="F2"/>
            <w:vAlign w:val="center"/>
          </w:tcPr>
          <w:p w14:paraId="571C6CD7" w14:textId="40182F39" w:rsidR="00E5289C" w:rsidRPr="00D968E2" w:rsidRDefault="00E5289C" w:rsidP="00BD0F0C">
            <w:pPr>
              <w:pStyle w:val="TableTextLeft-Arial"/>
            </w:pPr>
            <w:r w:rsidRPr="00D968E2">
              <w:t>2023/17</w:t>
            </w:r>
          </w:p>
        </w:tc>
        <w:tc>
          <w:tcPr>
            <w:tcW w:w="419" w:type="pct"/>
            <w:shd w:val="clear" w:color="auto" w:fill="F2F2F2" w:themeFill="background1" w:themeFillShade="F2"/>
            <w:vAlign w:val="center"/>
          </w:tcPr>
          <w:p w14:paraId="571C6CD8" w14:textId="49CA874D" w:rsidR="00E5289C" w:rsidRPr="00D968E2" w:rsidRDefault="00D82641" w:rsidP="00BD0F0C">
            <w:pPr>
              <w:pStyle w:val="TableTextLeft-Arial"/>
            </w:pPr>
            <w:r w:rsidRPr="00D968E2">
              <w:t>657A,D&amp;E</w:t>
            </w:r>
          </w:p>
        </w:tc>
        <w:tc>
          <w:tcPr>
            <w:tcW w:w="1485" w:type="pct"/>
            <w:shd w:val="clear" w:color="auto" w:fill="F2F2F2" w:themeFill="background1" w:themeFillShade="F2"/>
            <w:vAlign w:val="center"/>
          </w:tcPr>
          <w:p w14:paraId="571C6CD9" w14:textId="53355257" w:rsidR="00E5289C" w:rsidRPr="00D968E2" w:rsidRDefault="00E5289C" w:rsidP="00BD0F0C">
            <w:pPr>
              <w:pStyle w:val="TableTextLeft-Arial"/>
            </w:pPr>
            <w:r w:rsidRPr="00D968E2">
              <w:t>Tempus Resources Limited</w:t>
            </w:r>
          </w:p>
        </w:tc>
        <w:tc>
          <w:tcPr>
            <w:tcW w:w="1012" w:type="pct"/>
            <w:shd w:val="clear" w:color="auto" w:fill="F2F2F2" w:themeFill="background1" w:themeFillShade="F2"/>
            <w:vAlign w:val="center"/>
          </w:tcPr>
          <w:p w14:paraId="571C6CDA" w14:textId="16FBD1F8" w:rsidR="00E5289C" w:rsidRPr="00D968E2" w:rsidRDefault="00E5289C" w:rsidP="00BD0F0C">
            <w:pPr>
              <w:pStyle w:val="TableTextLeft-Arial"/>
            </w:pPr>
            <w:r w:rsidRPr="00D968E2">
              <w:t>Decline to conduct</w:t>
            </w:r>
          </w:p>
        </w:tc>
        <w:tc>
          <w:tcPr>
            <w:tcW w:w="476" w:type="pct"/>
            <w:shd w:val="clear" w:color="auto" w:fill="F2F2F2" w:themeFill="background1" w:themeFillShade="F2"/>
            <w:vAlign w:val="center"/>
          </w:tcPr>
          <w:p w14:paraId="571C6CDB" w14:textId="3514C74E" w:rsidR="00E5289C" w:rsidRPr="00D968E2" w:rsidRDefault="00E5289C" w:rsidP="00BD0F0C">
            <w:pPr>
              <w:pStyle w:val="TableTextLeft-Arial"/>
            </w:pPr>
            <w:r w:rsidRPr="00D968E2">
              <w:t>29/12/2023</w:t>
            </w:r>
          </w:p>
        </w:tc>
        <w:tc>
          <w:tcPr>
            <w:tcW w:w="476" w:type="pct"/>
            <w:shd w:val="clear" w:color="auto" w:fill="F2F2F2" w:themeFill="background1" w:themeFillShade="F2"/>
            <w:vAlign w:val="center"/>
          </w:tcPr>
          <w:p w14:paraId="571C6CDC" w14:textId="2D4DE39B" w:rsidR="00E5289C" w:rsidRPr="00D968E2" w:rsidRDefault="00E5289C" w:rsidP="00BD0F0C">
            <w:pPr>
              <w:pStyle w:val="TableTextLeft-Arial"/>
            </w:pPr>
            <w:r w:rsidRPr="00D968E2">
              <w:t>9/01/2024</w:t>
            </w:r>
          </w:p>
        </w:tc>
        <w:tc>
          <w:tcPr>
            <w:tcW w:w="417" w:type="pct"/>
            <w:shd w:val="clear" w:color="auto" w:fill="F2F2F2" w:themeFill="background1" w:themeFillShade="F2"/>
            <w:vAlign w:val="center"/>
          </w:tcPr>
          <w:p w14:paraId="682749F0" w14:textId="5A278C08" w:rsidR="00E5289C" w:rsidRPr="00D968E2" w:rsidRDefault="00E5289C" w:rsidP="00BD0F0C">
            <w:pPr>
              <w:pStyle w:val="TableTextRight-Arial"/>
              <w:jc w:val="left"/>
            </w:pPr>
            <w:r w:rsidRPr="00D968E2">
              <w:t>11</w:t>
            </w:r>
          </w:p>
        </w:tc>
      </w:tr>
      <w:tr w:rsidR="00E5289C" w:rsidRPr="00D968E2" w14:paraId="5574494B" w14:textId="77777777" w:rsidTr="00BD0F0C">
        <w:trPr>
          <w:trHeight w:val="20"/>
        </w:trPr>
        <w:tc>
          <w:tcPr>
            <w:tcW w:w="238" w:type="pct"/>
            <w:shd w:val="clear" w:color="auto" w:fill="auto"/>
            <w:vAlign w:val="center"/>
          </w:tcPr>
          <w:p w14:paraId="17DC3595" w14:textId="7148499E" w:rsidR="00E5289C" w:rsidRPr="00D968E2" w:rsidRDefault="00E5289C" w:rsidP="00E5289C">
            <w:pPr>
              <w:pStyle w:val="TableColumnHeadingLeft"/>
              <w:jc w:val="center"/>
            </w:pPr>
            <w:r w:rsidRPr="00D968E2">
              <w:t>10</w:t>
            </w:r>
          </w:p>
        </w:tc>
        <w:tc>
          <w:tcPr>
            <w:tcW w:w="477" w:type="pct"/>
            <w:shd w:val="clear" w:color="auto" w:fill="auto"/>
            <w:vAlign w:val="center"/>
          </w:tcPr>
          <w:p w14:paraId="76006560" w14:textId="7AD878BE" w:rsidR="00E5289C" w:rsidRPr="00D968E2" w:rsidRDefault="00E5289C" w:rsidP="00BD0F0C">
            <w:pPr>
              <w:pStyle w:val="TableTextLeft-Arial"/>
            </w:pPr>
            <w:r w:rsidRPr="00D968E2">
              <w:t>2024/01</w:t>
            </w:r>
          </w:p>
        </w:tc>
        <w:tc>
          <w:tcPr>
            <w:tcW w:w="419" w:type="pct"/>
            <w:shd w:val="clear" w:color="auto" w:fill="auto"/>
            <w:vAlign w:val="center"/>
          </w:tcPr>
          <w:p w14:paraId="083E0253" w14:textId="4F2B5113" w:rsidR="00E5289C" w:rsidRPr="00D968E2" w:rsidRDefault="00466223" w:rsidP="00BD0F0C">
            <w:pPr>
              <w:pStyle w:val="TableTextLeft-Arial"/>
            </w:pPr>
            <w:r w:rsidRPr="00D968E2">
              <w:t>657EA</w:t>
            </w:r>
          </w:p>
        </w:tc>
        <w:tc>
          <w:tcPr>
            <w:tcW w:w="1485" w:type="pct"/>
            <w:shd w:val="clear" w:color="auto" w:fill="auto"/>
            <w:vAlign w:val="center"/>
          </w:tcPr>
          <w:p w14:paraId="4DEBD3BD" w14:textId="3FA4BC5B" w:rsidR="00E5289C" w:rsidRPr="00D968E2" w:rsidRDefault="00E5289C" w:rsidP="00BD0F0C">
            <w:pPr>
              <w:pStyle w:val="TableTextLeft-Arial"/>
            </w:pPr>
            <w:r w:rsidRPr="00D968E2">
              <w:t>Tempus Resources Limited 02R</w:t>
            </w:r>
          </w:p>
        </w:tc>
        <w:tc>
          <w:tcPr>
            <w:tcW w:w="1012" w:type="pct"/>
            <w:shd w:val="clear" w:color="auto" w:fill="auto"/>
            <w:vAlign w:val="center"/>
          </w:tcPr>
          <w:p w14:paraId="6B26CC3B" w14:textId="55B2DBF4" w:rsidR="00E5289C" w:rsidRPr="00D968E2" w:rsidRDefault="00E5289C" w:rsidP="00BD0F0C">
            <w:pPr>
              <w:pStyle w:val="TableTextLeft-Arial"/>
            </w:pPr>
            <w:r w:rsidRPr="00D968E2">
              <w:t>Decline to conduct</w:t>
            </w:r>
          </w:p>
        </w:tc>
        <w:tc>
          <w:tcPr>
            <w:tcW w:w="476" w:type="pct"/>
            <w:shd w:val="clear" w:color="auto" w:fill="auto"/>
            <w:vAlign w:val="center"/>
          </w:tcPr>
          <w:p w14:paraId="4A75D3B7" w14:textId="792ECA75" w:rsidR="00E5289C" w:rsidRPr="00D968E2" w:rsidRDefault="00E5289C" w:rsidP="00BD0F0C">
            <w:pPr>
              <w:pStyle w:val="TableTextLeft-Arial"/>
            </w:pPr>
            <w:r w:rsidRPr="00D968E2">
              <w:t>11/01/2024</w:t>
            </w:r>
          </w:p>
        </w:tc>
        <w:tc>
          <w:tcPr>
            <w:tcW w:w="476" w:type="pct"/>
            <w:shd w:val="clear" w:color="auto" w:fill="auto"/>
            <w:vAlign w:val="center"/>
          </w:tcPr>
          <w:p w14:paraId="2547FD0E" w14:textId="20216E4D" w:rsidR="00E5289C" w:rsidRPr="00D968E2" w:rsidRDefault="00E5289C" w:rsidP="00BD0F0C">
            <w:pPr>
              <w:pStyle w:val="TableTextLeft-Arial"/>
            </w:pPr>
            <w:r w:rsidRPr="00D968E2">
              <w:t>15/01/2024</w:t>
            </w:r>
          </w:p>
        </w:tc>
        <w:tc>
          <w:tcPr>
            <w:tcW w:w="417" w:type="pct"/>
            <w:shd w:val="clear" w:color="auto" w:fill="auto"/>
            <w:vAlign w:val="center"/>
          </w:tcPr>
          <w:p w14:paraId="55C3D94D" w14:textId="3A33FBED" w:rsidR="00E5289C" w:rsidRPr="00D968E2" w:rsidRDefault="00E5289C" w:rsidP="00BD0F0C">
            <w:pPr>
              <w:pStyle w:val="TableTextRight-Arial"/>
              <w:jc w:val="left"/>
            </w:pPr>
            <w:r w:rsidRPr="00D968E2">
              <w:t>4</w:t>
            </w:r>
          </w:p>
        </w:tc>
      </w:tr>
      <w:tr w:rsidR="00E5289C" w:rsidRPr="00D968E2" w14:paraId="637AFB5F" w14:textId="77777777" w:rsidTr="00BD0F0C">
        <w:trPr>
          <w:trHeight w:val="20"/>
        </w:trPr>
        <w:tc>
          <w:tcPr>
            <w:tcW w:w="238" w:type="pct"/>
            <w:shd w:val="clear" w:color="auto" w:fill="F2F2F2" w:themeFill="background1" w:themeFillShade="F2"/>
            <w:vAlign w:val="center"/>
          </w:tcPr>
          <w:p w14:paraId="117EF1E8" w14:textId="57DBC93F" w:rsidR="00E5289C" w:rsidRPr="00D968E2" w:rsidRDefault="00E5289C" w:rsidP="00E5289C">
            <w:pPr>
              <w:pStyle w:val="TableColumnHeadingLeft"/>
              <w:jc w:val="center"/>
            </w:pPr>
            <w:r w:rsidRPr="00D968E2">
              <w:t>11</w:t>
            </w:r>
          </w:p>
        </w:tc>
        <w:tc>
          <w:tcPr>
            <w:tcW w:w="477" w:type="pct"/>
            <w:shd w:val="clear" w:color="auto" w:fill="F2F2F2" w:themeFill="background1" w:themeFillShade="F2"/>
            <w:vAlign w:val="center"/>
          </w:tcPr>
          <w:p w14:paraId="4E13140B" w14:textId="5D9D0576" w:rsidR="00E5289C" w:rsidRPr="00D968E2" w:rsidRDefault="00E5289C" w:rsidP="00BD0F0C">
            <w:pPr>
              <w:pStyle w:val="TableTextLeft-Arial"/>
            </w:pPr>
            <w:r w:rsidRPr="00D968E2">
              <w:t>2024/02</w:t>
            </w:r>
          </w:p>
        </w:tc>
        <w:tc>
          <w:tcPr>
            <w:tcW w:w="419" w:type="pct"/>
            <w:shd w:val="clear" w:color="auto" w:fill="F2F2F2" w:themeFill="background1" w:themeFillShade="F2"/>
            <w:vAlign w:val="center"/>
          </w:tcPr>
          <w:p w14:paraId="4CF4BDC4" w14:textId="01876BDD" w:rsidR="00E5289C" w:rsidRPr="00D968E2" w:rsidRDefault="00D82641" w:rsidP="00BD0F0C">
            <w:pPr>
              <w:pStyle w:val="TableTextLeft-Arial"/>
            </w:pPr>
            <w:r w:rsidRPr="00D968E2">
              <w:t>657A,D&amp;E</w:t>
            </w:r>
          </w:p>
        </w:tc>
        <w:tc>
          <w:tcPr>
            <w:tcW w:w="1485" w:type="pct"/>
            <w:shd w:val="clear" w:color="auto" w:fill="F2F2F2" w:themeFill="background1" w:themeFillShade="F2"/>
            <w:vAlign w:val="center"/>
          </w:tcPr>
          <w:p w14:paraId="6420E4E3" w14:textId="2DDAC65A" w:rsidR="00E5289C" w:rsidRPr="00D968E2" w:rsidRDefault="00E5289C" w:rsidP="00BD0F0C">
            <w:pPr>
              <w:pStyle w:val="TableTextLeft-Arial"/>
            </w:pPr>
            <w:bookmarkStart w:id="511" w:name="_Hlk174364912"/>
            <w:r w:rsidRPr="00D968E2">
              <w:t>Ignite Limited</w:t>
            </w:r>
            <w:bookmarkEnd w:id="511"/>
          </w:p>
        </w:tc>
        <w:tc>
          <w:tcPr>
            <w:tcW w:w="1012" w:type="pct"/>
            <w:shd w:val="clear" w:color="auto" w:fill="F2F2F2" w:themeFill="background1" w:themeFillShade="F2"/>
            <w:vAlign w:val="center"/>
          </w:tcPr>
          <w:p w14:paraId="5CF9CCC1" w14:textId="49ACF6B5" w:rsidR="00E5289C" w:rsidRPr="00D968E2" w:rsidRDefault="00E5289C" w:rsidP="00BD0F0C">
            <w:pPr>
              <w:pStyle w:val="TableTextLeft-Arial"/>
            </w:pPr>
            <w:r w:rsidRPr="00D968E2">
              <w:t>Decline to conduct</w:t>
            </w:r>
          </w:p>
        </w:tc>
        <w:tc>
          <w:tcPr>
            <w:tcW w:w="476" w:type="pct"/>
            <w:shd w:val="clear" w:color="auto" w:fill="F2F2F2" w:themeFill="background1" w:themeFillShade="F2"/>
            <w:vAlign w:val="center"/>
          </w:tcPr>
          <w:p w14:paraId="7630DE5A" w14:textId="1319E384" w:rsidR="00E5289C" w:rsidRPr="00D968E2" w:rsidRDefault="00E5289C" w:rsidP="00BD0F0C">
            <w:pPr>
              <w:pStyle w:val="TableTextLeft-Arial"/>
            </w:pPr>
            <w:r w:rsidRPr="00D968E2">
              <w:t>6/02/2024</w:t>
            </w:r>
          </w:p>
        </w:tc>
        <w:tc>
          <w:tcPr>
            <w:tcW w:w="476" w:type="pct"/>
            <w:shd w:val="clear" w:color="auto" w:fill="F2F2F2" w:themeFill="background1" w:themeFillShade="F2"/>
            <w:vAlign w:val="center"/>
          </w:tcPr>
          <w:p w14:paraId="4BCF2585" w14:textId="3D915444" w:rsidR="00E5289C" w:rsidRPr="00D968E2" w:rsidRDefault="00E5289C" w:rsidP="00BD0F0C">
            <w:pPr>
              <w:pStyle w:val="TableTextLeft-Arial"/>
            </w:pPr>
            <w:r w:rsidRPr="00D968E2">
              <w:t>14/02/2024</w:t>
            </w:r>
          </w:p>
        </w:tc>
        <w:tc>
          <w:tcPr>
            <w:tcW w:w="417" w:type="pct"/>
            <w:shd w:val="clear" w:color="auto" w:fill="F2F2F2" w:themeFill="background1" w:themeFillShade="F2"/>
            <w:vAlign w:val="center"/>
          </w:tcPr>
          <w:p w14:paraId="64DF3ED9" w14:textId="775497F3" w:rsidR="00E5289C" w:rsidRPr="00D968E2" w:rsidRDefault="00E5289C" w:rsidP="00BD0F0C">
            <w:pPr>
              <w:pStyle w:val="TableTextRight-Arial"/>
              <w:jc w:val="left"/>
            </w:pPr>
            <w:r w:rsidRPr="00D968E2">
              <w:t>8</w:t>
            </w:r>
          </w:p>
        </w:tc>
      </w:tr>
    </w:tbl>
    <w:p w14:paraId="571C6CE7" w14:textId="74C9EB1A" w:rsidR="00000701" w:rsidRPr="00D968E2" w:rsidRDefault="00CC73CE" w:rsidP="00000701">
      <w:pPr>
        <w:pStyle w:val="TableMainHeadingContd"/>
      </w:pPr>
      <w:r w:rsidRPr="00D968E2">
        <w:lastRenderedPageBreak/>
        <w:t>Table </w:t>
      </w:r>
      <w:r w:rsidR="00000701" w:rsidRPr="00D968E2">
        <w:t>1</w:t>
      </w:r>
      <w:r w:rsidR="002D2C29">
        <w:t>3</w:t>
      </w:r>
      <w:r w:rsidR="00000701" w:rsidRPr="00D968E2">
        <w:t>: Applications</w:t>
      </w:r>
      <w:r w:rsidR="00000701" w:rsidRPr="00D968E2">
        <w:fldChar w:fldCharType="begin"/>
      </w:r>
      <w:r w:rsidR="00000701" w:rsidRPr="00D968E2">
        <w:instrText>xe "Applications"</w:instrText>
      </w:r>
      <w:r w:rsidR="00000701" w:rsidRPr="00D968E2">
        <w:fldChar w:fldCharType="end"/>
      </w:r>
      <w:r w:rsidR="00000701" w:rsidRPr="00D968E2">
        <w:t xml:space="preserve"> received by the Panel in 20</w:t>
      </w:r>
      <w:r w:rsidR="00493089" w:rsidRPr="00D968E2">
        <w:t>2</w:t>
      </w:r>
      <w:r w:rsidR="004A222F" w:rsidRPr="00D968E2">
        <w:t>3</w:t>
      </w:r>
      <w:r w:rsidR="00550FAF" w:rsidRPr="00D968E2">
        <w:t>–</w:t>
      </w:r>
      <w:r w:rsidR="00515EE1" w:rsidRPr="00D968E2">
        <w:t>2</w:t>
      </w:r>
      <w:r w:rsidR="004A222F" w:rsidRPr="00D968E2">
        <w:t>4</w:t>
      </w:r>
      <w:r w:rsidR="00000701" w:rsidRPr="00D968E2">
        <w:t xml:space="preserve"> (continued)</w:t>
      </w:r>
    </w:p>
    <w:tbl>
      <w:tblPr>
        <w:tblW w:w="5000" w:type="pct"/>
        <w:tblLayout w:type="fixed"/>
        <w:tblCellMar>
          <w:left w:w="57" w:type="dxa"/>
          <w:right w:w="57" w:type="dxa"/>
        </w:tblCellMar>
        <w:tblLook w:val="0000" w:firstRow="0" w:lastRow="0" w:firstColumn="0" w:lastColumn="0" w:noHBand="0" w:noVBand="0"/>
      </w:tblPr>
      <w:tblGrid>
        <w:gridCol w:w="561"/>
        <w:gridCol w:w="1136"/>
        <w:gridCol w:w="996"/>
        <w:gridCol w:w="3544"/>
        <w:gridCol w:w="2410"/>
        <w:gridCol w:w="1134"/>
        <w:gridCol w:w="1134"/>
        <w:gridCol w:w="993"/>
      </w:tblGrid>
      <w:tr w:rsidR="00192E48" w:rsidRPr="00D968E2" w14:paraId="571C6CEF" w14:textId="2D316A8C" w:rsidTr="00E5289C">
        <w:trPr>
          <w:trHeight w:val="20"/>
          <w:tblHeader/>
        </w:trPr>
        <w:tc>
          <w:tcPr>
            <w:tcW w:w="236" w:type="pct"/>
            <w:tcBorders>
              <w:top w:val="single" w:sz="4" w:space="0" w:color="1F497D"/>
              <w:bottom w:val="single" w:sz="4" w:space="0" w:color="1F497D"/>
            </w:tcBorders>
            <w:shd w:val="clear" w:color="auto" w:fill="0E406A" w:themeFill="accent1"/>
            <w:vAlign w:val="center"/>
          </w:tcPr>
          <w:p w14:paraId="571C6CE8" w14:textId="77777777" w:rsidR="004E47CA" w:rsidRPr="00D968E2" w:rsidRDefault="004E47CA" w:rsidP="00EF78C2">
            <w:pPr>
              <w:pStyle w:val="TableColumnHeadingLeft"/>
            </w:pPr>
          </w:p>
        </w:tc>
        <w:tc>
          <w:tcPr>
            <w:tcW w:w="477" w:type="pct"/>
            <w:tcBorders>
              <w:top w:val="single" w:sz="4" w:space="0" w:color="1F497D"/>
              <w:bottom w:val="single" w:sz="4" w:space="0" w:color="1F497D"/>
            </w:tcBorders>
            <w:shd w:val="clear" w:color="auto" w:fill="0E406A" w:themeFill="accent1"/>
            <w:vAlign w:val="center"/>
          </w:tcPr>
          <w:p w14:paraId="571C6CE9" w14:textId="77777777" w:rsidR="004E47CA" w:rsidRPr="00D968E2" w:rsidRDefault="004E47CA" w:rsidP="00EF78C2">
            <w:pPr>
              <w:pStyle w:val="TableColumnHeadingLeft"/>
            </w:pPr>
            <w:r w:rsidRPr="00D968E2">
              <w:t>Matter No.</w:t>
            </w:r>
          </w:p>
        </w:tc>
        <w:tc>
          <w:tcPr>
            <w:tcW w:w="418" w:type="pct"/>
            <w:tcBorders>
              <w:top w:val="single" w:sz="4" w:space="0" w:color="1F497D"/>
              <w:bottom w:val="single" w:sz="4" w:space="0" w:color="1F497D"/>
            </w:tcBorders>
            <w:shd w:val="clear" w:color="auto" w:fill="0E406A" w:themeFill="accent1"/>
            <w:vAlign w:val="center"/>
          </w:tcPr>
          <w:p w14:paraId="571C6CEA" w14:textId="77777777" w:rsidR="004E47CA" w:rsidRPr="00D968E2" w:rsidRDefault="004E47CA" w:rsidP="00EF78C2">
            <w:pPr>
              <w:pStyle w:val="TableColumnHeadingLeft"/>
            </w:pPr>
            <w:r w:rsidRPr="00D968E2">
              <w:t>Section</w:t>
            </w:r>
          </w:p>
        </w:tc>
        <w:tc>
          <w:tcPr>
            <w:tcW w:w="1488" w:type="pct"/>
            <w:tcBorders>
              <w:top w:val="single" w:sz="4" w:space="0" w:color="1F497D"/>
              <w:bottom w:val="single" w:sz="4" w:space="0" w:color="1F497D"/>
            </w:tcBorders>
            <w:shd w:val="clear" w:color="auto" w:fill="0E406A" w:themeFill="accent1"/>
            <w:vAlign w:val="center"/>
          </w:tcPr>
          <w:p w14:paraId="571C6CEB" w14:textId="77777777" w:rsidR="004E47CA" w:rsidRPr="00D968E2" w:rsidRDefault="004E47CA" w:rsidP="00EF78C2">
            <w:pPr>
              <w:pStyle w:val="TableColumnHeadingLeft"/>
            </w:pPr>
            <w:r w:rsidRPr="00D968E2">
              <w:t>Matter name</w:t>
            </w:r>
          </w:p>
        </w:tc>
        <w:tc>
          <w:tcPr>
            <w:tcW w:w="1012" w:type="pct"/>
            <w:tcBorders>
              <w:top w:val="single" w:sz="4" w:space="0" w:color="1F497D"/>
              <w:bottom w:val="single" w:sz="4" w:space="0" w:color="1F497D"/>
            </w:tcBorders>
            <w:shd w:val="clear" w:color="auto" w:fill="0E406A" w:themeFill="accent1"/>
            <w:vAlign w:val="center"/>
          </w:tcPr>
          <w:p w14:paraId="571C6CEC" w14:textId="77777777" w:rsidR="004E47CA" w:rsidRPr="00D968E2" w:rsidRDefault="004E47CA" w:rsidP="00EF78C2">
            <w:pPr>
              <w:pStyle w:val="TableColumnHeadingLeft"/>
            </w:pPr>
            <w:r w:rsidRPr="00D968E2">
              <w:t>Decision</w:t>
            </w:r>
          </w:p>
        </w:tc>
        <w:tc>
          <w:tcPr>
            <w:tcW w:w="476" w:type="pct"/>
            <w:tcBorders>
              <w:top w:val="single" w:sz="4" w:space="0" w:color="1F497D"/>
              <w:bottom w:val="single" w:sz="4" w:space="0" w:color="1F497D"/>
            </w:tcBorders>
            <w:shd w:val="clear" w:color="auto" w:fill="0E406A" w:themeFill="accent1"/>
            <w:vAlign w:val="center"/>
          </w:tcPr>
          <w:p w14:paraId="571C6CED" w14:textId="77777777" w:rsidR="004E47CA" w:rsidRPr="00D968E2" w:rsidRDefault="004E47CA" w:rsidP="00EF78C2">
            <w:pPr>
              <w:pStyle w:val="TableColumnHeadingLeft"/>
            </w:pPr>
            <w:r w:rsidRPr="00D968E2">
              <w:t>Application Date</w:t>
            </w:r>
          </w:p>
        </w:tc>
        <w:tc>
          <w:tcPr>
            <w:tcW w:w="476" w:type="pct"/>
            <w:tcBorders>
              <w:top w:val="single" w:sz="4" w:space="0" w:color="1F497D"/>
              <w:bottom w:val="single" w:sz="4" w:space="0" w:color="1F497D"/>
            </w:tcBorders>
            <w:shd w:val="clear" w:color="auto" w:fill="0E406A" w:themeFill="accent1"/>
            <w:vAlign w:val="center"/>
          </w:tcPr>
          <w:p w14:paraId="571C6CEE" w14:textId="604D5830" w:rsidR="004E47CA" w:rsidRPr="00D968E2" w:rsidRDefault="004E47CA" w:rsidP="00EF78C2">
            <w:pPr>
              <w:pStyle w:val="TableColumnHeadingLeft"/>
            </w:pPr>
            <w:r w:rsidRPr="00D968E2">
              <w:t xml:space="preserve">Decision </w:t>
            </w:r>
            <w:r w:rsidR="00326C28" w:rsidRPr="00D968E2">
              <w:t>D</w:t>
            </w:r>
            <w:r w:rsidRPr="00D968E2">
              <w:t>ate</w:t>
            </w:r>
          </w:p>
        </w:tc>
        <w:tc>
          <w:tcPr>
            <w:tcW w:w="417" w:type="pct"/>
            <w:tcBorders>
              <w:top w:val="single" w:sz="4" w:space="0" w:color="1F497D"/>
              <w:bottom w:val="single" w:sz="4" w:space="0" w:color="1F497D"/>
            </w:tcBorders>
            <w:shd w:val="clear" w:color="auto" w:fill="0E406A" w:themeFill="accent1"/>
          </w:tcPr>
          <w:p w14:paraId="5BD14996" w14:textId="275AAFF4" w:rsidR="004E47CA" w:rsidRPr="00D968E2" w:rsidRDefault="004E47CA" w:rsidP="004F7091">
            <w:pPr>
              <w:pStyle w:val="TableColumnHeadingRight"/>
            </w:pPr>
            <w:r w:rsidRPr="00D968E2">
              <w:t>Days to Decision</w:t>
            </w:r>
          </w:p>
        </w:tc>
      </w:tr>
      <w:tr w:rsidR="00E5289C" w:rsidRPr="00D968E2" w14:paraId="01157234" w14:textId="0700D956" w:rsidTr="00E27EEE">
        <w:trPr>
          <w:trHeight w:val="20"/>
        </w:trPr>
        <w:tc>
          <w:tcPr>
            <w:tcW w:w="236" w:type="pct"/>
            <w:tcBorders>
              <w:top w:val="single" w:sz="4" w:space="0" w:color="1F497D"/>
            </w:tcBorders>
            <w:shd w:val="clear" w:color="auto" w:fill="F2F2F2" w:themeFill="background1" w:themeFillShade="F2"/>
            <w:vAlign w:val="center"/>
          </w:tcPr>
          <w:p w14:paraId="24FE05D7" w14:textId="4EAA2EB5" w:rsidR="00E5289C" w:rsidRPr="00D968E2" w:rsidRDefault="00E5289C" w:rsidP="00E5289C">
            <w:pPr>
              <w:pStyle w:val="TableColumnHeadingLeft"/>
              <w:jc w:val="center"/>
            </w:pPr>
            <w:r w:rsidRPr="00D968E2">
              <w:t>12</w:t>
            </w:r>
          </w:p>
        </w:tc>
        <w:tc>
          <w:tcPr>
            <w:tcW w:w="477" w:type="pct"/>
            <w:tcBorders>
              <w:top w:val="single" w:sz="4" w:space="0" w:color="1F497D"/>
            </w:tcBorders>
            <w:shd w:val="clear" w:color="auto" w:fill="F2F2F2" w:themeFill="background1" w:themeFillShade="F2"/>
            <w:vAlign w:val="center"/>
          </w:tcPr>
          <w:p w14:paraId="4032CBB8" w14:textId="6A4379DF" w:rsidR="00E5289C" w:rsidRPr="00D968E2" w:rsidRDefault="00E5289C" w:rsidP="00E27EEE">
            <w:pPr>
              <w:pStyle w:val="TableTextLeft-Arial"/>
            </w:pPr>
            <w:r w:rsidRPr="00D968E2">
              <w:t>2024/03</w:t>
            </w:r>
          </w:p>
        </w:tc>
        <w:tc>
          <w:tcPr>
            <w:tcW w:w="418" w:type="pct"/>
            <w:tcBorders>
              <w:top w:val="single" w:sz="4" w:space="0" w:color="1F497D"/>
            </w:tcBorders>
            <w:shd w:val="clear" w:color="auto" w:fill="F2F2F2" w:themeFill="background1" w:themeFillShade="F2"/>
            <w:vAlign w:val="center"/>
          </w:tcPr>
          <w:p w14:paraId="77BE17AD" w14:textId="31FDD918" w:rsidR="00E5289C" w:rsidRPr="00D968E2" w:rsidRDefault="00D82641" w:rsidP="00E27EEE">
            <w:pPr>
              <w:pStyle w:val="TableTextLeft-Arial"/>
            </w:pPr>
            <w:r w:rsidRPr="00D968E2">
              <w:t>657A,D&amp;E</w:t>
            </w:r>
          </w:p>
        </w:tc>
        <w:tc>
          <w:tcPr>
            <w:tcW w:w="1488" w:type="pct"/>
            <w:tcBorders>
              <w:top w:val="single" w:sz="4" w:space="0" w:color="1F497D"/>
            </w:tcBorders>
            <w:shd w:val="clear" w:color="auto" w:fill="F2F2F2" w:themeFill="background1" w:themeFillShade="F2"/>
            <w:vAlign w:val="center"/>
          </w:tcPr>
          <w:p w14:paraId="529F2CC6" w14:textId="28D348DC" w:rsidR="00E5289C" w:rsidRPr="00BA3E45" w:rsidRDefault="00E5289C" w:rsidP="00E27EEE">
            <w:pPr>
              <w:pStyle w:val="TableTextLeft-Arial"/>
            </w:pPr>
            <w:bookmarkStart w:id="512" w:name="_Hlk174378098"/>
            <w:r w:rsidRPr="00BA3E45">
              <w:t>Pact Group Holdings Ltd</w:t>
            </w:r>
            <w:bookmarkEnd w:id="512"/>
          </w:p>
        </w:tc>
        <w:tc>
          <w:tcPr>
            <w:tcW w:w="1012" w:type="pct"/>
            <w:tcBorders>
              <w:top w:val="single" w:sz="4" w:space="0" w:color="1F497D"/>
            </w:tcBorders>
            <w:shd w:val="clear" w:color="auto" w:fill="F2F2F2" w:themeFill="background1" w:themeFillShade="F2"/>
            <w:vAlign w:val="center"/>
          </w:tcPr>
          <w:p w14:paraId="3F859B8B" w14:textId="26DB9F01" w:rsidR="00E5289C" w:rsidRPr="00D968E2" w:rsidRDefault="00E5289C" w:rsidP="00E27EEE">
            <w:pPr>
              <w:pStyle w:val="TableTextLeft-Arial"/>
            </w:pPr>
            <w:r w:rsidRPr="00D968E2">
              <w:t>Decline to conduct, undertaking/action by party</w:t>
            </w:r>
          </w:p>
        </w:tc>
        <w:tc>
          <w:tcPr>
            <w:tcW w:w="476" w:type="pct"/>
            <w:tcBorders>
              <w:top w:val="single" w:sz="4" w:space="0" w:color="1F497D"/>
            </w:tcBorders>
            <w:shd w:val="clear" w:color="auto" w:fill="F2F2F2" w:themeFill="background1" w:themeFillShade="F2"/>
            <w:vAlign w:val="center"/>
          </w:tcPr>
          <w:p w14:paraId="03AD07C1" w14:textId="502C5DF8" w:rsidR="00E5289C" w:rsidRPr="00D968E2" w:rsidRDefault="00E5289C" w:rsidP="00E27EEE">
            <w:pPr>
              <w:pStyle w:val="TableTextLeft-Arial"/>
            </w:pPr>
            <w:r w:rsidRPr="00D968E2">
              <w:t>15/03/2024</w:t>
            </w:r>
          </w:p>
        </w:tc>
        <w:tc>
          <w:tcPr>
            <w:tcW w:w="476" w:type="pct"/>
            <w:tcBorders>
              <w:top w:val="single" w:sz="4" w:space="0" w:color="1F497D"/>
            </w:tcBorders>
            <w:shd w:val="clear" w:color="auto" w:fill="F2F2F2" w:themeFill="background1" w:themeFillShade="F2"/>
            <w:vAlign w:val="center"/>
          </w:tcPr>
          <w:p w14:paraId="200F2BF1" w14:textId="05490DBB" w:rsidR="00E5289C" w:rsidRPr="00D968E2" w:rsidRDefault="00E5289C" w:rsidP="00E27EEE">
            <w:pPr>
              <w:pStyle w:val="TableTextLeft-Arial"/>
            </w:pPr>
            <w:r w:rsidRPr="00D968E2">
              <w:t>5/04/2024</w:t>
            </w:r>
          </w:p>
        </w:tc>
        <w:tc>
          <w:tcPr>
            <w:tcW w:w="417" w:type="pct"/>
            <w:tcBorders>
              <w:top w:val="single" w:sz="4" w:space="0" w:color="1F497D"/>
            </w:tcBorders>
            <w:shd w:val="clear" w:color="auto" w:fill="F2F2F2" w:themeFill="background1" w:themeFillShade="F2"/>
            <w:vAlign w:val="center"/>
          </w:tcPr>
          <w:p w14:paraId="469E638D" w14:textId="00B12DA4" w:rsidR="00E5289C" w:rsidRPr="00D968E2" w:rsidRDefault="00E5289C" w:rsidP="00E27EEE">
            <w:pPr>
              <w:pStyle w:val="TableTextRight-Arial"/>
              <w:jc w:val="left"/>
            </w:pPr>
            <w:r w:rsidRPr="00D968E2">
              <w:t>21</w:t>
            </w:r>
          </w:p>
        </w:tc>
      </w:tr>
      <w:tr w:rsidR="00E5289C" w:rsidRPr="00D968E2" w14:paraId="1C2A9036" w14:textId="455DF19D" w:rsidTr="00E27EEE">
        <w:trPr>
          <w:trHeight w:val="20"/>
        </w:trPr>
        <w:tc>
          <w:tcPr>
            <w:tcW w:w="236" w:type="pct"/>
            <w:shd w:val="clear" w:color="auto" w:fill="FFFFFF" w:themeFill="background1"/>
            <w:vAlign w:val="center"/>
          </w:tcPr>
          <w:p w14:paraId="443F9E57" w14:textId="2A7F1E73" w:rsidR="00E5289C" w:rsidRPr="00D968E2" w:rsidRDefault="00E5289C" w:rsidP="00E5289C">
            <w:pPr>
              <w:pStyle w:val="TableColumnHeadingLeft"/>
              <w:jc w:val="center"/>
            </w:pPr>
            <w:bookmarkStart w:id="513" w:name="_Hlk174377544"/>
            <w:r w:rsidRPr="00D968E2">
              <w:t>13</w:t>
            </w:r>
          </w:p>
        </w:tc>
        <w:tc>
          <w:tcPr>
            <w:tcW w:w="477" w:type="pct"/>
            <w:shd w:val="clear" w:color="auto" w:fill="FFFFFF" w:themeFill="background1"/>
            <w:vAlign w:val="center"/>
          </w:tcPr>
          <w:p w14:paraId="57AA476C" w14:textId="39A74D2F" w:rsidR="00E5289C" w:rsidRPr="00D968E2" w:rsidRDefault="00E5289C" w:rsidP="00E27EEE">
            <w:pPr>
              <w:pStyle w:val="TableTextLeft-Arial"/>
            </w:pPr>
            <w:r w:rsidRPr="00D968E2">
              <w:t>2024/04</w:t>
            </w:r>
          </w:p>
        </w:tc>
        <w:tc>
          <w:tcPr>
            <w:tcW w:w="418" w:type="pct"/>
            <w:shd w:val="clear" w:color="auto" w:fill="FFFFFF" w:themeFill="background1"/>
            <w:vAlign w:val="center"/>
          </w:tcPr>
          <w:p w14:paraId="3A82CF94" w14:textId="4CBCAE97" w:rsidR="00E5289C" w:rsidRPr="00D968E2" w:rsidRDefault="00D82641" w:rsidP="00E27EEE">
            <w:pPr>
              <w:pStyle w:val="TableTextLeft-Arial"/>
            </w:pPr>
            <w:r w:rsidRPr="00D968E2">
              <w:t>657A,D&amp;E</w:t>
            </w:r>
          </w:p>
        </w:tc>
        <w:tc>
          <w:tcPr>
            <w:tcW w:w="1488" w:type="pct"/>
            <w:shd w:val="clear" w:color="auto" w:fill="FFFFFF" w:themeFill="background1"/>
            <w:vAlign w:val="center"/>
          </w:tcPr>
          <w:p w14:paraId="47623655" w14:textId="4C9EF377" w:rsidR="00E5289C" w:rsidRPr="00BA3E45" w:rsidRDefault="00E5289C" w:rsidP="00E27EEE">
            <w:pPr>
              <w:pStyle w:val="TableTextLeft-Arial"/>
            </w:pPr>
            <w:r w:rsidRPr="00BA3E45">
              <w:t>Vintage Energy Limited</w:t>
            </w:r>
          </w:p>
        </w:tc>
        <w:tc>
          <w:tcPr>
            <w:tcW w:w="1012" w:type="pct"/>
            <w:shd w:val="clear" w:color="auto" w:fill="FFFFFF" w:themeFill="background1"/>
            <w:vAlign w:val="center"/>
          </w:tcPr>
          <w:p w14:paraId="1DCB455B" w14:textId="526FABE6" w:rsidR="00E5289C" w:rsidRPr="00D968E2" w:rsidRDefault="00E5289C" w:rsidP="00E27EEE">
            <w:pPr>
              <w:pStyle w:val="TableTextLeft-Arial"/>
            </w:pPr>
            <w:r w:rsidRPr="00D968E2">
              <w:t>Decline to conduct</w:t>
            </w:r>
          </w:p>
        </w:tc>
        <w:tc>
          <w:tcPr>
            <w:tcW w:w="476" w:type="pct"/>
            <w:shd w:val="clear" w:color="auto" w:fill="FFFFFF" w:themeFill="background1"/>
            <w:vAlign w:val="center"/>
          </w:tcPr>
          <w:p w14:paraId="1A306BCF" w14:textId="511DE0CA" w:rsidR="00E5289C" w:rsidRPr="00D968E2" w:rsidRDefault="00E5289C" w:rsidP="00E27EEE">
            <w:pPr>
              <w:pStyle w:val="TableTextLeft-Arial"/>
            </w:pPr>
            <w:r w:rsidRPr="00D968E2">
              <w:t>30/03/2024</w:t>
            </w:r>
          </w:p>
        </w:tc>
        <w:tc>
          <w:tcPr>
            <w:tcW w:w="476" w:type="pct"/>
            <w:shd w:val="clear" w:color="auto" w:fill="FFFFFF" w:themeFill="background1"/>
            <w:vAlign w:val="center"/>
          </w:tcPr>
          <w:p w14:paraId="4EA49D12" w14:textId="5EA07CF9" w:rsidR="00E5289C" w:rsidRPr="00D968E2" w:rsidRDefault="00E5289C" w:rsidP="00E27EEE">
            <w:pPr>
              <w:pStyle w:val="TableTextLeft-Arial"/>
            </w:pPr>
            <w:r w:rsidRPr="00D968E2">
              <w:t>16/04/2024</w:t>
            </w:r>
          </w:p>
        </w:tc>
        <w:tc>
          <w:tcPr>
            <w:tcW w:w="417" w:type="pct"/>
            <w:shd w:val="clear" w:color="auto" w:fill="FFFFFF" w:themeFill="background1"/>
            <w:vAlign w:val="center"/>
          </w:tcPr>
          <w:p w14:paraId="400AE243" w14:textId="28308A7A" w:rsidR="00E5289C" w:rsidRPr="00D968E2" w:rsidRDefault="00E5289C" w:rsidP="00E27EEE">
            <w:pPr>
              <w:pStyle w:val="TableTextRight-Arial"/>
              <w:jc w:val="left"/>
            </w:pPr>
            <w:r w:rsidRPr="00D968E2">
              <w:t>17</w:t>
            </w:r>
          </w:p>
        </w:tc>
      </w:tr>
      <w:bookmarkEnd w:id="513"/>
      <w:tr w:rsidR="00E5289C" w:rsidRPr="00D968E2" w14:paraId="4B25B1F3" w14:textId="7C96F017" w:rsidTr="00E27EEE">
        <w:trPr>
          <w:trHeight w:val="20"/>
        </w:trPr>
        <w:tc>
          <w:tcPr>
            <w:tcW w:w="236" w:type="pct"/>
            <w:shd w:val="clear" w:color="auto" w:fill="F2F2F2" w:themeFill="background1" w:themeFillShade="F2"/>
            <w:vAlign w:val="center"/>
          </w:tcPr>
          <w:p w14:paraId="1A065036" w14:textId="393A1FC4" w:rsidR="00E5289C" w:rsidRPr="00D968E2" w:rsidRDefault="00E5289C" w:rsidP="00E5289C">
            <w:pPr>
              <w:pStyle w:val="TableColumnHeadingLeft"/>
              <w:jc w:val="center"/>
            </w:pPr>
            <w:r w:rsidRPr="00D968E2">
              <w:t>14</w:t>
            </w:r>
          </w:p>
        </w:tc>
        <w:tc>
          <w:tcPr>
            <w:tcW w:w="477" w:type="pct"/>
            <w:shd w:val="clear" w:color="auto" w:fill="F2F2F2" w:themeFill="background1" w:themeFillShade="F2"/>
            <w:vAlign w:val="center"/>
          </w:tcPr>
          <w:p w14:paraId="7F3FE594" w14:textId="6248D080" w:rsidR="00E5289C" w:rsidRPr="00D968E2" w:rsidRDefault="00E5289C" w:rsidP="00E27EEE">
            <w:pPr>
              <w:pStyle w:val="TableTextLeft-Arial"/>
            </w:pPr>
            <w:r w:rsidRPr="00D968E2">
              <w:t>2024/05</w:t>
            </w:r>
          </w:p>
        </w:tc>
        <w:tc>
          <w:tcPr>
            <w:tcW w:w="418" w:type="pct"/>
            <w:shd w:val="clear" w:color="auto" w:fill="F2F2F2" w:themeFill="background1" w:themeFillShade="F2"/>
            <w:vAlign w:val="center"/>
          </w:tcPr>
          <w:p w14:paraId="51576749" w14:textId="23FAC1C1" w:rsidR="00E5289C" w:rsidRPr="00D968E2" w:rsidRDefault="00466223" w:rsidP="00E27EEE">
            <w:pPr>
              <w:pStyle w:val="TableTextLeft-Arial"/>
            </w:pPr>
            <w:r w:rsidRPr="00D968E2">
              <w:t>657EA</w:t>
            </w:r>
          </w:p>
        </w:tc>
        <w:tc>
          <w:tcPr>
            <w:tcW w:w="1488" w:type="pct"/>
            <w:shd w:val="clear" w:color="auto" w:fill="F2F2F2" w:themeFill="background1" w:themeFillShade="F2"/>
            <w:vAlign w:val="center"/>
          </w:tcPr>
          <w:p w14:paraId="21223390" w14:textId="08EF0A61" w:rsidR="00E5289C" w:rsidRPr="00BA3E45" w:rsidRDefault="00E5289C" w:rsidP="00E27EEE">
            <w:pPr>
              <w:pStyle w:val="TableTextLeft-Arial"/>
            </w:pPr>
            <w:bookmarkStart w:id="514" w:name="_Hlk174377557"/>
            <w:r w:rsidRPr="00BA3E45">
              <w:t>Vintage Energy Limited 02R</w:t>
            </w:r>
            <w:bookmarkEnd w:id="514"/>
          </w:p>
        </w:tc>
        <w:tc>
          <w:tcPr>
            <w:tcW w:w="1012" w:type="pct"/>
            <w:shd w:val="clear" w:color="auto" w:fill="F2F2F2" w:themeFill="background1" w:themeFillShade="F2"/>
            <w:vAlign w:val="center"/>
          </w:tcPr>
          <w:p w14:paraId="3820DF33" w14:textId="21227BC9" w:rsidR="00E5289C" w:rsidRPr="00D968E2" w:rsidRDefault="00E5289C" w:rsidP="00E27EEE">
            <w:pPr>
              <w:pStyle w:val="TableTextLeft-Arial"/>
            </w:pPr>
            <w:r w:rsidRPr="00D968E2">
              <w:t>Decline to conduct</w:t>
            </w:r>
          </w:p>
        </w:tc>
        <w:tc>
          <w:tcPr>
            <w:tcW w:w="476" w:type="pct"/>
            <w:shd w:val="clear" w:color="auto" w:fill="F2F2F2" w:themeFill="background1" w:themeFillShade="F2"/>
            <w:vAlign w:val="center"/>
          </w:tcPr>
          <w:p w14:paraId="601F70BB" w14:textId="02457C3B" w:rsidR="00E5289C" w:rsidRPr="00D968E2" w:rsidRDefault="00E5289C" w:rsidP="00E27EEE">
            <w:pPr>
              <w:pStyle w:val="TableTextLeft-Arial"/>
            </w:pPr>
            <w:r w:rsidRPr="00D968E2">
              <w:t>17/04/2024</w:t>
            </w:r>
          </w:p>
        </w:tc>
        <w:tc>
          <w:tcPr>
            <w:tcW w:w="476" w:type="pct"/>
            <w:shd w:val="clear" w:color="auto" w:fill="F2F2F2" w:themeFill="background1" w:themeFillShade="F2"/>
            <w:vAlign w:val="center"/>
          </w:tcPr>
          <w:p w14:paraId="3134A188" w14:textId="4DE74595" w:rsidR="00E5289C" w:rsidRPr="00D968E2" w:rsidRDefault="00E5289C" w:rsidP="00E27EEE">
            <w:pPr>
              <w:pStyle w:val="TableTextLeft-Arial"/>
            </w:pPr>
            <w:r w:rsidRPr="00D968E2">
              <w:t>26/04/2024</w:t>
            </w:r>
          </w:p>
        </w:tc>
        <w:tc>
          <w:tcPr>
            <w:tcW w:w="417" w:type="pct"/>
            <w:shd w:val="clear" w:color="auto" w:fill="F2F2F2" w:themeFill="background1" w:themeFillShade="F2"/>
            <w:vAlign w:val="center"/>
          </w:tcPr>
          <w:p w14:paraId="458594B2" w14:textId="693D3001" w:rsidR="00E5289C" w:rsidRPr="00D968E2" w:rsidRDefault="00E5289C" w:rsidP="00E27EEE">
            <w:pPr>
              <w:pStyle w:val="TableTextRight-Arial"/>
              <w:jc w:val="left"/>
            </w:pPr>
            <w:r w:rsidRPr="00D968E2">
              <w:t>9</w:t>
            </w:r>
          </w:p>
        </w:tc>
      </w:tr>
      <w:tr w:rsidR="00E5289C" w:rsidRPr="00D968E2" w14:paraId="571C6CF7" w14:textId="30A651B3" w:rsidTr="00E27EEE">
        <w:trPr>
          <w:trHeight w:val="20"/>
        </w:trPr>
        <w:tc>
          <w:tcPr>
            <w:tcW w:w="236" w:type="pct"/>
            <w:shd w:val="clear" w:color="auto" w:fill="FFFFFF" w:themeFill="background1"/>
            <w:vAlign w:val="center"/>
          </w:tcPr>
          <w:p w14:paraId="571C6CF0" w14:textId="0AE30655" w:rsidR="00E5289C" w:rsidRPr="00D968E2" w:rsidRDefault="00E5289C" w:rsidP="00E5289C">
            <w:pPr>
              <w:pStyle w:val="TableColumnHeadingLeft"/>
              <w:jc w:val="center"/>
            </w:pPr>
            <w:r w:rsidRPr="00D968E2">
              <w:t>15</w:t>
            </w:r>
          </w:p>
        </w:tc>
        <w:tc>
          <w:tcPr>
            <w:tcW w:w="477" w:type="pct"/>
            <w:shd w:val="clear" w:color="auto" w:fill="FFFFFF" w:themeFill="background1"/>
            <w:vAlign w:val="center"/>
          </w:tcPr>
          <w:p w14:paraId="571C6CF1" w14:textId="1E73A2D5" w:rsidR="00E5289C" w:rsidRPr="00D968E2" w:rsidRDefault="00E5289C" w:rsidP="00E27EEE">
            <w:pPr>
              <w:pStyle w:val="TableTextLeft-Arial"/>
            </w:pPr>
            <w:r w:rsidRPr="00D968E2">
              <w:t>2024/06</w:t>
            </w:r>
          </w:p>
        </w:tc>
        <w:tc>
          <w:tcPr>
            <w:tcW w:w="418" w:type="pct"/>
            <w:shd w:val="clear" w:color="auto" w:fill="FFFFFF" w:themeFill="background1"/>
            <w:vAlign w:val="center"/>
          </w:tcPr>
          <w:p w14:paraId="571C6CF2" w14:textId="2DC7D956" w:rsidR="00E5289C" w:rsidRPr="00D968E2" w:rsidRDefault="00D82641" w:rsidP="00E27EEE">
            <w:pPr>
              <w:pStyle w:val="TableTextLeft-Arial"/>
            </w:pPr>
            <w:r w:rsidRPr="00D968E2">
              <w:t>657A,D&amp;E</w:t>
            </w:r>
          </w:p>
        </w:tc>
        <w:tc>
          <w:tcPr>
            <w:tcW w:w="1488" w:type="pct"/>
            <w:shd w:val="clear" w:color="auto" w:fill="FFFFFF" w:themeFill="background1"/>
            <w:vAlign w:val="center"/>
          </w:tcPr>
          <w:p w14:paraId="571C6CF3" w14:textId="556DDF2A" w:rsidR="00E5289C" w:rsidRPr="00BA3E45" w:rsidRDefault="00E5289C" w:rsidP="00E27EEE">
            <w:pPr>
              <w:pStyle w:val="TableTextLeft-Arial"/>
            </w:pPr>
            <w:bookmarkStart w:id="515" w:name="_Hlk174364954"/>
            <w:r w:rsidRPr="00BA3E45">
              <w:t>Ringers Western Limited</w:t>
            </w:r>
            <w:bookmarkEnd w:id="515"/>
          </w:p>
        </w:tc>
        <w:tc>
          <w:tcPr>
            <w:tcW w:w="1012" w:type="pct"/>
            <w:shd w:val="clear" w:color="auto" w:fill="FFFFFF" w:themeFill="background1"/>
            <w:vAlign w:val="center"/>
          </w:tcPr>
          <w:p w14:paraId="571C6CF4" w14:textId="42F390B5" w:rsidR="00E5289C" w:rsidRPr="00D968E2" w:rsidRDefault="00E5289C" w:rsidP="00E27EEE">
            <w:pPr>
              <w:pStyle w:val="TableTextLeft-Arial"/>
            </w:pPr>
            <w:r w:rsidRPr="00D968E2">
              <w:t>Declaration and order(s)</w:t>
            </w:r>
          </w:p>
        </w:tc>
        <w:tc>
          <w:tcPr>
            <w:tcW w:w="476" w:type="pct"/>
            <w:shd w:val="clear" w:color="auto" w:fill="FFFFFF" w:themeFill="background1"/>
            <w:vAlign w:val="center"/>
          </w:tcPr>
          <w:p w14:paraId="571C6CF5" w14:textId="3EBB848D" w:rsidR="00E5289C" w:rsidRPr="00D968E2" w:rsidRDefault="00E5289C" w:rsidP="00E27EEE">
            <w:pPr>
              <w:pStyle w:val="TableTextLeft-Arial"/>
            </w:pPr>
            <w:r w:rsidRPr="00D968E2">
              <w:t>26/04/2024</w:t>
            </w:r>
          </w:p>
        </w:tc>
        <w:tc>
          <w:tcPr>
            <w:tcW w:w="476" w:type="pct"/>
            <w:shd w:val="clear" w:color="auto" w:fill="FFFFFF" w:themeFill="background1"/>
            <w:vAlign w:val="center"/>
          </w:tcPr>
          <w:p w14:paraId="571C6CF6" w14:textId="3C6538E6" w:rsidR="00E5289C" w:rsidRPr="00D968E2" w:rsidRDefault="00E5289C" w:rsidP="00E27EEE">
            <w:pPr>
              <w:pStyle w:val="TableTextLeft-Arial"/>
            </w:pPr>
            <w:r w:rsidRPr="00D968E2">
              <w:t>4/06/2024</w:t>
            </w:r>
          </w:p>
        </w:tc>
        <w:tc>
          <w:tcPr>
            <w:tcW w:w="417" w:type="pct"/>
            <w:shd w:val="clear" w:color="auto" w:fill="FFFFFF" w:themeFill="background1"/>
            <w:vAlign w:val="center"/>
          </w:tcPr>
          <w:p w14:paraId="7798FC1E" w14:textId="6B6778DB" w:rsidR="00E5289C" w:rsidRPr="00D968E2" w:rsidRDefault="00E5289C" w:rsidP="00E27EEE">
            <w:pPr>
              <w:pStyle w:val="TableTextRight-Arial"/>
              <w:jc w:val="left"/>
            </w:pPr>
            <w:r w:rsidRPr="00D968E2">
              <w:t>39</w:t>
            </w:r>
          </w:p>
        </w:tc>
      </w:tr>
      <w:tr w:rsidR="00E5289C" w:rsidRPr="00D968E2" w14:paraId="571C6CFF" w14:textId="430CFEAA" w:rsidTr="00E27EEE">
        <w:trPr>
          <w:trHeight w:val="20"/>
        </w:trPr>
        <w:tc>
          <w:tcPr>
            <w:tcW w:w="236" w:type="pct"/>
            <w:shd w:val="clear" w:color="auto" w:fill="F2F2F2" w:themeFill="background1" w:themeFillShade="F2"/>
            <w:vAlign w:val="center"/>
          </w:tcPr>
          <w:p w14:paraId="571C6CF8" w14:textId="70402F72" w:rsidR="00E5289C" w:rsidRPr="00D968E2" w:rsidRDefault="00E5289C" w:rsidP="00E5289C">
            <w:pPr>
              <w:pStyle w:val="TableColumnHeadingLeft"/>
              <w:jc w:val="center"/>
            </w:pPr>
            <w:r w:rsidRPr="00D968E2">
              <w:t>16</w:t>
            </w:r>
          </w:p>
        </w:tc>
        <w:tc>
          <w:tcPr>
            <w:tcW w:w="477" w:type="pct"/>
            <w:shd w:val="clear" w:color="auto" w:fill="F2F2F2" w:themeFill="background1" w:themeFillShade="F2"/>
            <w:vAlign w:val="center"/>
          </w:tcPr>
          <w:p w14:paraId="571C6CF9" w14:textId="553A812C" w:rsidR="00E5289C" w:rsidRPr="00D968E2" w:rsidRDefault="00E5289C" w:rsidP="00E27EEE">
            <w:pPr>
              <w:pStyle w:val="TableTextLeft-Arial"/>
            </w:pPr>
            <w:r w:rsidRPr="00D968E2">
              <w:t>2024/07</w:t>
            </w:r>
          </w:p>
        </w:tc>
        <w:tc>
          <w:tcPr>
            <w:tcW w:w="418" w:type="pct"/>
            <w:shd w:val="clear" w:color="auto" w:fill="F2F2F2" w:themeFill="background1" w:themeFillShade="F2"/>
            <w:vAlign w:val="center"/>
          </w:tcPr>
          <w:p w14:paraId="571C6CFA" w14:textId="09703BE6" w:rsidR="00E5289C" w:rsidRPr="00D968E2" w:rsidRDefault="00D82641" w:rsidP="00E27EEE">
            <w:pPr>
              <w:pStyle w:val="TableTextLeft-Arial"/>
            </w:pPr>
            <w:r w:rsidRPr="00D968E2">
              <w:t>657A&amp;D</w:t>
            </w:r>
          </w:p>
        </w:tc>
        <w:tc>
          <w:tcPr>
            <w:tcW w:w="1488" w:type="pct"/>
            <w:shd w:val="clear" w:color="auto" w:fill="F2F2F2" w:themeFill="background1" w:themeFillShade="F2"/>
            <w:vAlign w:val="center"/>
          </w:tcPr>
          <w:p w14:paraId="571C6CFB" w14:textId="73172360" w:rsidR="00E5289C" w:rsidRPr="00BA3E45" w:rsidRDefault="00E5289C" w:rsidP="00E27EEE">
            <w:pPr>
              <w:pStyle w:val="TableTextLeft-Arial"/>
            </w:pPr>
            <w:bookmarkStart w:id="516" w:name="_Hlk174364962"/>
            <w:r w:rsidRPr="00BA3E45">
              <w:t>Mount Isa Minerals Limited</w:t>
            </w:r>
            <w:bookmarkEnd w:id="516"/>
          </w:p>
        </w:tc>
        <w:tc>
          <w:tcPr>
            <w:tcW w:w="1012" w:type="pct"/>
            <w:shd w:val="clear" w:color="auto" w:fill="F2F2F2" w:themeFill="background1" w:themeFillShade="F2"/>
            <w:vAlign w:val="center"/>
          </w:tcPr>
          <w:p w14:paraId="571C6CFC" w14:textId="15033C8F" w:rsidR="00E5289C" w:rsidRPr="00D968E2" w:rsidRDefault="00E5289C" w:rsidP="00E27EEE">
            <w:pPr>
              <w:pStyle w:val="TableTextLeft-Arial"/>
            </w:pPr>
            <w:r w:rsidRPr="00D968E2">
              <w:t>Decline to conduct</w:t>
            </w:r>
          </w:p>
        </w:tc>
        <w:tc>
          <w:tcPr>
            <w:tcW w:w="476" w:type="pct"/>
            <w:shd w:val="clear" w:color="auto" w:fill="F2F2F2" w:themeFill="background1" w:themeFillShade="F2"/>
            <w:vAlign w:val="center"/>
          </w:tcPr>
          <w:p w14:paraId="571C6CFD" w14:textId="3AD8FA01" w:rsidR="00E5289C" w:rsidRPr="00D968E2" w:rsidRDefault="00E5289C" w:rsidP="00E27EEE">
            <w:pPr>
              <w:pStyle w:val="TableTextLeft-Arial"/>
            </w:pPr>
            <w:r w:rsidRPr="00D968E2">
              <w:t>3/05/2024</w:t>
            </w:r>
          </w:p>
        </w:tc>
        <w:tc>
          <w:tcPr>
            <w:tcW w:w="476" w:type="pct"/>
            <w:shd w:val="clear" w:color="auto" w:fill="F2F2F2" w:themeFill="background1" w:themeFillShade="F2"/>
            <w:vAlign w:val="center"/>
          </w:tcPr>
          <w:p w14:paraId="571C6CFE" w14:textId="1244AC3E" w:rsidR="00E5289C" w:rsidRPr="00D968E2" w:rsidRDefault="00E5289C" w:rsidP="00E27EEE">
            <w:pPr>
              <w:pStyle w:val="TableTextLeft-Arial"/>
            </w:pPr>
            <w:r w:rsidRPr="00D968E2">
              <w:t>13/05/2024</w:t>
            </w:r>
          </w:p>
        </w:tc>
        <w:tc>
          <w:tcPr>
            <w:tcW w:w="417" w:type="pct"/>
            <w:shd w:val="clear" w:color="auto" w:fill="F2F2F2" w:themeFill="background1" w:themeFillShade="F2"/>
            <w:vAlign w:val="center"/>
          </w:tcPr>
          <w:p w14:paraId="64928BA9" w14:textId="7B944DA9" w:rsidR="00E5289C" w:rsidRPr="00D968E2" w:rsidRDefault="00E5289C" w:rsidP="00E27EEE">
            <w:pPr>
              <w:pStyle w:val="TableTextRight-Arial"/>
              <w:jc w:val="left"/>
            </w:pPr>
            <w:r w:rsidRPr="00D968E2">
              <w:t>10</w:t>
            </w:r>
          </w:p>
        </w:tc>
      </w:tr>
      <w:tr w:rsidR="00E5289C" w:rsidRPr="00D968E2" w14:paraId="571C6D07" w14:textId="6504AC4E" w:rsidTr="00E27EEE">
        <w:trPr>
          <w:trHeight w:val="20"/>
        </w:trPr>
        <w:tc>
          <w:tcPr>
            <w:tcW w:w="236" w:type="pct"/>
            <w:shd w:val="clear" w:color="auto" w:fill="FFFFFF" w:themeFill="background1"/>
            <w:vAlign w:val="center"/>
          </w:tcPr>
          <w:p w14:paraId="571C6D00" w14:textId="36F197BB" w:rsidR="00E5289C" w:rsidRPr="00D968E2" w:rsidRDefault="00E5289C" w:rsidP="00E5289C">
            <w:pPr>
              <w:pStyle w:val="TableColumnHeadingLeft"/>
              <w:jc w:val="center"/>
            </w:pPr>
            <w:r w:rsidRPr="00D968E2">
              <w:t>17</w:t>
            </w:r>
          </w:p>
        </w:tc>
        <w:tc>
          <w:tcPr>
            <w:tcW w:w="477" w:type="pct"/>
            <w:shd w:val="clear" w:color="auto" w:fill="FFFFFF" w:themeFill="background1"/>
            <w:vAlign w:val="center"/>
          </w:tcPr>
          <w:p w14:paraId="571C6D01" w14:textId="407A4CE0" w:rsidR="00E5289C" w:rsidRPr="00D968E2" w:rsidRDefault="00E5289C" w:rsidP="00E27EEE">
            <w:pPr>
              <w:pStyle w:val="TableTextLeft-Arial"/>
            </w:pPr>
            <w:r w:rsidRPr="00D968E2">
              <w:t>2024/08</w:t>
            </w:r>
          </w:p>
        </w:tc>
        <w:tc>
          <w:tcPr>
            <w:tcW w:w="418" w:type="pct"/>
            <w:shd w:val="clear" w:color="auto" w:fill="FFFFFF" w:themeFill="background1"/>
            <w:vAlign w:val="center"/>
          </w:tcPr>
          <w:p w14:paraId="571C6D02" w14:textId="77ABDC18" w:rsidR="00E5289C" w:rsidRPr="00D968E2" w:rsidRDefault="00D82641" w:rsidP="00E27EEE">
            <w:pPr>
              <w:pStyle w:val="TableTextLeft-Arial"/>
            </w:pPr>
            <w:r w:rsidRPr="00D968E2">
              <w:t>657A</w:t>
            </w:r>
            <w:r w:rsidR="0082389C">
              <w:t>&amp;</w:t>
            </w:r>
            <w:r w:rsidRPr="00D968E2">
              <w:t>D</w:t>
            </w:r>
          </w:p>
        </w:tc>
        <w:tc>
          <w:tcPr>
            <w:tcW w:w="1488" w:type="pct"/>
            <w:shd w:val="clear" w:color="auto" w:fill="FFFFFF" w:themeFill="background1"/>
            <w:vAlign w:val="center"/>
          </w:tcPr>
          <w:p w14:paraId="571C6D03" w14:textId="6C6658F0" w:rsidR="00E5289C" w:rsidRPr="00BA3E45" w:rsidRDefault="00E5289C" w:rsidP="00E27EEE">
            <w:pPr>
              <w:pStyle w:val="TableTextLeft-Arial"/>
            </w:pPr>
            <w:bookmarkStart w:id="517" w:name="_Hlk174364970"/>
            <w:r w:rsidRPr="00BA3E45">
              <w:t>Sequoia Financial Group L</w:t>
            </w:r>
            <w:bookmarkEnd w:id="517"/>
            <w:r w:rsidR="006D4039" w:rsidRPr="00BA3E45">
              <w:t>imited</w:t>
            </w:r>
          </w:p>
        </w:tc>
        <w:tc>
          <w:tcPr>
            <w:tcW w:w="1012" w:type="pct"/>
            <w:shd w:val="clear" w:color="auto" w:fill="FFFFFF" w:themeFill="background1"/>
            <w:vAlign w:val="center"/>
          </w:tcPr>
          <w:p w14:paraId="571C6D04" w14:textId="3836F465" w:rsidR="00E5289C" w:rsidRPr="00D968E2" w:rsidRDefault="00E5289C" w:rsidP="00E27EEE">
            <w:pPr>
              <w:pStyle w:val="TableTextLeft-Arial"/>
            </w:pPr>
            <w:r w:rsidRPr="00D968E2">
              <w:t>Declaration and order(s)</w:t>
            </w:r>
          </w:p>
        </w:tc>
        <w:tc>
          <w:tcPr>
            <w:tcW w:w="476" w:type="pct"/>
            <w:shd w:val="clear" w:color="auto" w:fill="FFFFFF" w:themeFill="background1"/>
            <w:vAlign w:val="center"/>
          </w:tcPr>
          <w:p w14:paraId="571C6D05" w14:textId="30FBCE9B" w:rsidR="00E5289C" w:rsidRPr="00D968E2" w:rsidRDefault="00E5289C" w:rsidP="00E27EEE">
            <w:pPr>
              <w:pStyle w:val="TableTextLeft-Arial"/>
            </w:pPr>
            <w:r w:rsidRPr="00D968E2">
              <w:t>15/05/2024</w:t>
            </w:r>
          </w:p>
        </w:tc>
        <w:tc>
          <w:tcPr>
            <w:tcW w:w="476" w:type="pct"/>
            <w:shd w:val="clear" w:color="auto" w:fill="FFFFFF" w:themeFill="background1"/>
            <w:vAlign w:val="center"/>
          </w:tcPr>
          <w:p w14:paraId="571C6D06" w14:textId="6F909472" w:rsidR="00E5289C" w:rsidRPr="00D968E2" w:rsidRDefault="00E5289C" w:rsidP="00E27EEE">
            <w:pPr>
              <w:pStyle w:val="TableTextLeft-Arial"/>
            </w:pPr>
            <w:r w:rsidRPr="00D968E2">
              <w:t>28/06/2024</w:t>
            </w:r>
          </w:p>
        </w:tc>
        <w:tc>
          <w:tcPr>
            <w:tcW w:w="417" w:type="pct"/>
            <w:shd w:val="clear" w:color="auto" w:fill="FFFFFF" w:themeFill="background1"/>
            <w:vAlign w:val="center"/>
          </w:tcPr>
          <w:p w14:paraId="7F532B56" w14:textId="03744003" w:rsidR="00E5289C" w:rsidRPr="00D968E2" w:rsidRDefault="00E5289C" w:rsidP="00E27EEE">
            <w:pPr>
              <w:pStyle w:val="TableTextRight-Arial"/>
              <w:jc w:val="left"/>
            </w:pPr>
            <w:r w:rsidRPr="00D968E2">
              <w:t>44</w:t>
            </w:r>
          </w:p>
        </w:tc>
      </w:tr>
      <w:tr w:rsidR="00E5289C" w:rsidRPr="00D968E2" w14:paraId="571C6D0F" w14:textId="34B27DE0" w:rsidTr="00E27EEE">
        <w:trPr>
          <w:trHeight w:val="20"/>
        </w:trPr>
        <w:tc>
          <w:tcPr>
            <w:tcW w:w="236" w:type="pct"/>
            <w:shd w:val="clear" w:color="auto" w:fill="F2F2F2" w:themeFill="background1" w:themeFillShade="F2"/>
            <w:vAlign w:val="center"/>
          </w:tcPr>
          <w:p w14:paraId="571C6D08" w14:textId="492DECFF" w:rsidR="00E5289C" w:rsidRPr="00D968E2" w:rsidRDefault="00E5289C" w:rsidP="00E5289C">
            <w:pPr>
              <w:pStyle w:val="TableColumnHeadingLeft"/>
              <w:jc w:val="center"/>
            </w:pPr>
            <w:r w:rsidRPr="00D968E2">
              <w:t>18</w:t>
            </w:r>
          </w:p>
        </w:tc>
        <w:tc>
          <w:tcPr>
            <w:tcW w:w="477" w:type="pct"/>
            <w:shd w:val="clear" w:color="auto" w:fill="F2F2F2" w:themeFill="background1" w:themeFillShade="F2"/>
            <w:vAlign w:val="center"/>
          </w:tcPr>
          <w:p w14:paraId="571C6D09" w14:textId="2EE409B0" w:rsidR="00E5289C" w:rsidRPr="00D968E2" w:rsidRDefault="00E5289C" w:rsidP="00E27EEE">
            <w:pPr>
              <w:pStyle w:val="TableTextLeft-Arial"/>
            </w:pPr>
            <w:r w:rsidRPr="00D968E2">
              <w:t>2024/09</w:t>
            </w:r>
          </w:p>
        </w:tc>
        <w:tc>
          <w:tcPr>
            <w:tcW w:w="418" w:type="pct"/>
            <w:shd w:val="clear" w:color="auto" w:fill="F2F2F2" w:themeFill="background1" w:themeFillShade="F2"/>
            <w:vAlign w:val="center"/>
          </w:tcPr>
          <w:p w14:paraId="571C6D0A" w14:textId="33015F42" w:rsidR="00E5289C" w:rsidRPr="00D968E2" w:rsidRDefault="00D82641" w:rsidP="00E27EEE">
            <w:pPr>
              <w:pStyle w:val="TableTextLeft-Arial"/>
            </w:pPr>
            <w:r w:rsidRPr="00D968E2">
              <w:t>657A&amp;D</w:t>
            </w:r>
          </w:p>
        </w:tc>
        <w:tc>
          <w:tcPr>
            <w:tcW w:w="1488" w:type="pct"/>
            <w:shd w:val="clear" w:color="auto" w:fill="F2F2F2" w:themeFill="background1" w:themeFillShade="F2"/>
            <w:vAlign w:val="center"/>
          </w:tcPr>
          <w:p w14:paraId="571C6D0B" w14:textId="0FF06E78" w:rsidR="00E5289C" w:rsidRPr="00BA3E45" w:rsidRDefault="00E5289C" w:rsidP="00E27EEE">
            <w:pPr>
              <w:pStyle w:val="TableTextLeft-Arial"/>
            </w:pPr>
            <w:bookmarkStart w:id="518" w:name="_Hlk174365071"/>
            <w:r w:rsidRPr="00BA3E45">
              <w:t>Pacific Smiles Group Limited</w:t>
            </w:r>
            <w:bookmarkEnd w:id="518"/>
          </w:p>
        </w:tc>
        <w:tc>
          <w:tcPr>
            <w:tcW w:w="1012" w:type="pct"/>
            <w:shd w:val="clear" w:color="auto" w:fill="F2F2F2" w:themeFill="background1" w:themeFillShade="F2"/>
            <w:vAlign w:val="center"/>
          </w:tcPr>
          <w:p w14:paraId="571C6D0C" w14:textId="2F4A943E" w:rsidR="00E5289C" w:rsidRPr="00D968E2" w:rsidRDefault="00E5289C" w:rsidP="00E27EEE">
            <w:pPr>
              <w:pStyle w:val="TableTextLeft-Arial"/>
            </w:pPr>
            <w:r w:rsidRPr="00D968E2">
              <w:t>Declaration</w:t>
            </w:r>
          </w:p>
        </w:tc>
        <w:tc>
          <w:tcPr>
            <w:tcW w:w="476" w:type="pct"/>
            <w:shd w:val="clear" w:color="auto" w:fill="F2F2F2" w:themeFill="background1" w:themeFillShade="F2"/>
            <w:vAlign w:val="center"/>
          </w:tcPr>
          <w:p w14:paraId="571C6D0D" w14:textId="4731ECC5" w:rsidR="00E5289C" w:rsidRPr="00D968E2" w:rsidRDefault="00E5289C" w:rsidP="00E27EEE">
            <w:pPr>
              <w:pStyle w:val="TableTextLeft-Arial"/>
            </w:pPr>
            <w:r w:rsidRPr="00D968E2">
              <w:t>17/05/2024</w:t>
            </w:r>
          </w:p>
        </w:tc>
        <w:tc>
          <w:tcPr>
            <w:tcW w:w="476" w:type="pct"/>
            <w:shd w:val="clear" w:color="auto" w:fill="F2F2F2" w:themeFill="background1" w:themeFillShade="F2"/>
            <w:vAlign w:val="center"/>
          </w:tcPr>
          <w:p w14:paraId="571C6D0E" w14:textId="189BD606" w:rsidR="00E5289C" w:rsidRPr="00D968E2" w:rsidRDefault="00E5289C" w:rsidP="00E27EEE">
            <w:pPr>
              <w:pStyle w:val="TableTextLeft-Arial"/>
            </w:pPr>
            <w:r w:rsidRPr="00D968E2">
              <w:t>4/07/2024</w:t>
            </w:r>
          </w:p>
        </w:tc>
        <w:tc>
          <w:tcPr>
            <w:tcW w:w="417" w:type="pct"/>
            <w:shd w:val="clear" w:color="auto" w:fill="F2F2F2" w:themeFill="background1" w:themeFillShade="F2"/>
            <w:vAlign w:val="center"/>
          </w:tcPr>
          <w:p w14:paraId="3E93C920" w14:textId="1DC8710F" w:rsidR="00E5289C" w:rsidRPr="00D968E2" w:rsidRDefault="00E5289C" w:rsidP="00E27EEE">
            <w:pPr>
              <w:pStyle w:val="TableTextRight-Arial"/>
              <w:jc w:val="left"/>
            </w:pPr>
            <w:r w:rsidRPr="00D968E2">
              <w:t>48</w:t>
            </w:r>
          </w:p>
        </w:tc>
      </w:tr>
      <w:tr w:rsidR="00E5289C" w:rsidRPr="00D968E2" w14:paraId="720D3138" w14:textId="77777777" w:rsidTr="00E27EEE">
        <w:trPr>
          <w:trHeight w:val="20"/>
        </w:trPr>
        <w:tc>
          <w:tcPr>
            <w:tcW w:w="236" w:type="pct"/>
            <w:shd w:val="clear" w:color="auto" w:fill="auto"/>
            <w:vAlign w:val="center"/>
          </w:tcPr>
          <w:p w14:paraId="50FDBCA2" w14:textId="19F6C01B" w:rsidR="00E5289C" w:rsidRPr="00D968E2" w:rsidRDefault="00E5289C" w:rsidP="00E5289C">
            <w:pPr>
              <w:pStyle w:val="TableColumnHeadingLeft"/>
              <w:jc w:val="center"/>
            </w:pPr>
            <w:r w:rsidRPr="00D968E2">
              <w:t>19</w:t>
            </w:r>
          </w:p>
        </w:tc>
        <w:tc>
          <w:tcPr>
            <w:tcW w:w="477" w:type="pct"/>
            <w:shd w:val="clear" w:color="auto" w:fill="auto"/>
            <w:vAlign w:val="center"/>
          </w:tcPr>
          <w:p w14:paraId="313A6ABE" w14:textId="7D547662" w:rsidR="00E5289C" w:rsidRPr="00D968E2" w:rsidRDefault="00E5289C" w:rsidP="00E27EEE">
            <w:pPr>
              <w:pStyle w:val="TableTextLeft-Arial"/>
            </w:pPr>
            <w:r w:rsidRPr="00D968E2">
              <w:t>2024/10</w:t>
            </w:r>
          </w:p>
        </w:tc>
        <w:tc>
          <w:tcPr>
            <w:tcW w:w="418" w:type="pct"/>
            <w:shd w:val="clear" w:color="auto" w:fill="auto"/>
            <w:vAlign w:val="center"/>
          </w:tcPr>
          <w:p w14:paraId="291DD756" w14:textId="312F3CE9" w:rsidR="00E5289C" w:rsidRPr="00D968E2" w:rsidRDefault="00D82641" w:rsidP="00E27EEE">
            <w:pPr>
              <w:pStyle w:val="TableTextLeft-Arial"/>
            </w:pPr>
            <w:r w:rsidRPr="00D968E2">
              <w:t>657A,D&amp;E</w:t>
            </w:r>
          </w:p>
        </w:tc>
        <w:tc>
          <w:tcPr>
            <w:tcW w:w="1488" w:type="pct"/>
            <w:shd w:val="clear" w:color="auto" w:fill="auto"/>
            <w:vAlign w:val="center"/>
          </w:tcPr>
          <w:p w14:paraId="78DACFB0" w14:textId="15CAAF30" w:rsidR="00E5289C" w:rsidRPr="00BA3E45" w:rsidRDefault="00E5289C" w:rsidP="00E27EEE">
            <w:pPr>
              <w:pStyle w:val="TableTextLeft-Arial"/>
            </w:pPr>
            <w:bookmarkStart w:id="519" w:name="_Hlk174377957"/>
            <w:r w:rsidRPr="00BA3E45">
              <w:t>Maronan Metals Limited</w:t>
            </w:r>
            <w:bookmarkEnd w:id="519"/>
          </w:p>
        </w:tc>
        <w:tc>
          <w:tcPr>
            <w:tcW w:w="1012" w:type="pct"/>
            <w:shd w:val="clear" w:color="auto" w:fill="auto"/>
            <w:vAlign w:val="center"/>
          </w:tcPr>
          <w:p w14:paraId="7D5E7DC8" w14:textId="5B25E849" w:rsidR="00E5289C" w:rsidRPr="00D968E2" w:rsidRDefault="00E5289C" w:rsidP="00E27EEE">
            <w:pPr>
              <w:pStyle w:val="TableTextLeft-Arial"/>
            </w:pPr>
            <w:r w:rsidRPr="00D968E2">
              <w:t>Decline to conduct</w:t>
            </w:r>
          </w:p>
        </w:tc>
        <w:tc>
          <w:tcPr>
            <w:tcW w:w="476" w:type="pct"/>
            <w:shd w:val="clear" w:color="auto" w:fill="auto"/>
            <w:vAlign w:val="center"/>
          </w:tcPr>
          <w:p w14:paraId="2D0C62C2" w14:textId="615520F3" w:rsidR="00E5289C" w:rsidRPr="00D968E2" w:rsidRDefault="00E5289C" w:rsidP="00E27EEE">
            <w:pPr>
              <w:pStyle w:val="TableTextLeft-Arial"/>
            </w:pPr>
            <w:r w:rsidRPr="00D968E2">
              <w:t>20/05/2024</w:t>
            </w:r>
          </w:p>
        </w:tc>
        <w:tc>
          <w:tcPr>
            <w:tcW w:w="476" w:type="pct"/>
            <w:shd w:val="clear" w:color="auto" w:fill="auto"/>
            <w:vAlign w:val="center"/>
          </w:tcPr>
          <w:p w14:paraId="4F35851E" w14:textId="2D6E5A5B" w:rsidR="00E5289C" w:rsidRPr="00D968E2" w:rsidRDefault="00E5289C" w:rsidP="00E27EEE">
            <w:pPr>
              <w:pStyle w:val="TableTextLeft-Arial"/>
            </w:pPr>
            <w:r w:rsidRPr="00D968E2">
              <w:t>6/06/2024</w:t>
            </w:r>
          </w:p>
        </w:tc>
        <w:tc>
          <w:tcPr>
            <w:tcW w:w="417" w:type="pct"/>
            <w:shd w:val="clear" w:color="auto" w:fill="auto"/>
            <w:vAlign w:val="center"/>
          </w:tcPr>
          <w:p w14:paraId="5340A52A" w14:textId="2DA6083E" w:rsidR="00E5289C" w:rsidRPr="00D968E2" w:rsidRDefault="00E5289C" w:rsidP="00E27EEE">
            <w:pPr>
              <w:pStyle w:val="TableTextRight-Arial"/>
              <w:jc w:val="left"/>
            </w:pPr>
            <w:r w:rsidRPr="00D968E2">
              <w:t>17</w:t>
            </w:r>
          </w:p>
        </w:tc>
      </w:tr>
      <w:tr w:rsidR="00E5289C" w:rsidRPr="00D968E2" w14:paraId="1D8245E4" w14:textId="77777777" w:rsidTr="00E27EEE">
        <w:trPr>
          <w:trHeight w:val="20"/>
        </w:trPr>
        <w:tc>
          <w:tcPr>
            <w:tcW w:w="236" w:type="pct"/>
            <w:shd w:val="clear" w:color="auto" w:fill="F2F2F2" w:themeFill="background1" w:themeFillShade="F2"/>
            <w:vAlign w:val="center"/>
          </w:tcPr>
          <w:p w14:paraId="369CC64A" w14:textId="2BA6D738" w:rsidR="00E5289C" w:rsidRPr="00D968E2" w:rsidRDefault="00E5289C" w:rsidP="00E5289C">
            <w:pPr>
              <w:pStyle w:val="TableColumnHeadingLeft"/>
              <w:jc w:val="center"/>
            </w:pPr>
            <w:r w:rsidRPr="00D968E2">
              <w:t>20</w:t>
            </w:r>
          </w:p>
        </w:tc>
        <w:tc>
          <w:tcPr>
            <w:tcW w:w="477" w:type="pct"/>
            <w:shd w:val="clear" w:color="auto" w:fill="F2F2F2" w:themeFill="background1" w:themeFillShade="F2"/>
            <w:vAlign w:val="center"/>
          </w:tcPr>
          <w:p w14:paraId="376FDC7A" w14:textId="2C4E7873" w:rsidR="00E5289C" w:rsidRPr="00D968E2" w:rsidRDefault="00E5289C" w:rsidP="00E27EEE">
            <w:pPr>
              <w:pStyle w:val="TableTextLeft-Arial"/>
            </w:pPr>
            <w:r w:rsidRPr="00D968E2">
              <w:t>2024/11</w:t>
            </w:r>
          </w:p>
        </w:tc>
        <w:tc>
          <w:tcPr>
            <w:tcW w:w="418" w:type="pct"/>
            <w:shd w:val="clear" w:color="auto" w:fill="F2F2F2" w:themeFill="background1" w:themeFillShade="F2"/>
            <w:vAlign w:val="center"/>
          </w:tcPr>
          <w:p w14:paraId="5969F4C2" w14:textId="2036EDB4" w:rsidR="00E5289C" w:rsidRPr="00D968E2" w:rsidRDefault="00D82641" w:rsidP="00E27EEE">
            <w:pPr>
              <w:pStyle w:val="TableTextLeft-Arial"/>
            </w:pPr>
            <w:r w:rsidRPr="00D968E2">
              <w:t>657A,D&amp;E</w:t>
            </w:r>
          </w:p>
        </w:tc>
        <w:tc>
          <w:tcPr>
            <w:tcW w:w="1488" w:type="pct"/>
            <w:shd w:val="clear" w:color="auto" w:fill="F2F2F2" w:themeFill="background1" w:themeFillShade="F2"/>
            <w:vAlign w:val="center"/>
          </w:tcPr>
          <w:p w14:paraId="50DF9868" w14:textId="1BAF83C1" w:rsidR="00E5289C" w:rsidRPr="00BA3E45" w:rsidRDefault="00E5289C" w:rsidP="00E27EEE">
            <w:pPr>
              <w:pStyle w:val="TableTextLeft-Arial"/>
            </w:pPr>
            <w:bookmarkStart w:id="520" w:name="_Hlk174365126"/>
            <w:r w:rsidRPr="00BA3E45">
              <w:t>Metallica Minerals Limited</w:t>
            </w:r>
            <w:bookmarkEnd w:id="520"/>
          </w:p>
        </w:tc>
        <w:tc>
          <w:tcPr>
            <w:tcW w:w="1012" w:type="pct"/>
            <w:shd w:val="clear" w:color="auto" w:fill="F2F2F2" w:themeFill="background1" w:themeFillShade="F2"/>
            <w:vAlign w:val="center"/>
          </w:tcPr>
          <w:p w14:paraId="2CE6B722" w14:textId="584D2996" w:rsidR="00E5289C" w:rsidRPr="00D968E2" w:rsidRDefault="00E5289C" w:rsidP="00E27EEE">
            <w:pPr>
              <w:pStyle w:val="TableTextLeft-Arial"/>
            </w:pPr>
            <w:r w:rsidRPr="00D968E2">
              <w:t>Conducted, no declaration, undertaking/action by party</w:t>
            </w:r>
          </w:p>
        </w:tc>
        <w:tc>
          <w:tcPr>
            <w:tcW w:w="476" w:type="pct"/>
            <w:shd w:val="clear" w:color="auto" w:fill="F2F2F2" w:themeFill="background1" w:themeFillShade="F2"/>
            <w:vAlign w:val="center"/>
          </w:tcPr>
          <w:p w14:paraId="2A0C55AA" w14:textId="19DDECE3" w:rsidR="00E5289C" w:rsidRPr="00D968E2" w:rsidRDefault="00E5289C" w:rsidP="00E27EEE">
            <w:pPr>
              <w:pStyle w:val="TableTextLeft-Arial"/>
            </w:pPr>
            <w:r w:rsidRPr="00D968E2">
              <w:t>21/05/2024</w:t>
            </w:r>
          </w:p>
        </w:tc>
        <w:tc>
          <w:tcPr>
            <w:tcW w:w="476" w:type="pct"/>
            <w:shd w:val="clear" w:color="auto" w:fill="F2F2F2" w:themeFill="background1" w:themeFillShade="F2"/>
            <w:vAlign w:val="center"/>
          </w:tcPr>
          <w:p w14:paraId="363F2B15" w14:textId="7D8D150B" w:rsidR="00E5289C" w:rsidRPr="00D968E2" w:rsidRDefault="00E5289C" w:rsidP="00E27EEE">
            <w:pPr>
              <w:pStyle w:val="TableTextLeft-Arial"/>
            </w:pPr>
            <w:r w:rsidRPr="00D968E2">
              <w:t>5/06/2024</w:t>
            </w:r>
          </w:p>
        </w:tc>
        <w:tc>
          <w:tcPr>
            <w:tcW w:w="417" w:type="pct"/>
            <w:shd w:val="clear" w:color="auto" w:fill="F2F2F2" w:themeFill="background1" w:themeFillShade="F2"/>
            <w:vAlign w:val="center"/>
          </w:tcPr>
          <w:p w14:paraId="306493AE" w14:textId="55970A6A" w:rsidR="00E5289C" w:rsidRPr="00D968E2" w:rsidRDefault="00E5289C" w:rsidP="00E27EEE">
            <w:pPr>
              <w:pStyle w:val="TableTextRight-Arial"/>
              <w:jc w:val="left"/>
            </w:pPr>
            <w:r w:rsidRPr="00D968E2">
              <w:t>15</w:t>
            </w:r>
          </w:p>
        </w:tc>
      </w:tr>
      <w:tr w:rsidR="00E5289C" w:rsidRPr="00D968E2" w14:paraId="4B1852C1" w14:textId="77777777" w:rsidTr="00E27EEE">
        <w:trPr>
          <w:trHeight w:val="20"/>
        </w:trPr>
        <w:tc>
          <w:tcPr>
            <w:tcW w:w="236" w:type="pct"/>
            <w:shd w:val="clear" w:color="auto" w:fill="auto"/>
            <w:vAlign w:val="center"/>
          </w:tcPr>
          <w:p w14:paraId="596D317A" w14:textId="2B065D54" w:rsidR="00E5289C" w:rsidRPr="00D968E2" w:rsidRDefault="00E5289C" w:rsidP="00E5289C">
            <w:pPr>
              <w:pStyle w:val="TableColumnHeadingLeft"/>
              <w:jc w:val="center"/>
            </w:pPr>
            <w:r w:rsidRPr="00D968E2">
              <w:t>21</w:t>
            </w:r>
          </w:p>
        </w:tc>
        <w:tc>
          <w:tcPr>
            <w:tcW w:w="477" w:type="pct"/>
            <w:shd w:val="clear" w:color="auto" w:fill="auto"/>
            <w:vAlign w:val="center"/>
          </w:tcPr>
          <w:p w14:paraId="4D0FEC9C" w14:textId="596FAE84" w:rsidR="00E5289C" w:rsidRPr="00D968E2" w:rsidRDefault="00E5289C" w:rsidP="00E27EEE">
            <w:pPr>
              <w:pStyle w:val="TableTextLeft-Arial"/>
            </w:pPr>
            <w:r w:rsidRPr="00D968E2">
              <w:t>2024/12</w:t>
            </w:r>
          </w:p>
        </w:tc>
        <w:tc>
          <w:tcPr>
            <w:tcW w:w="418" w:type="pct"/>
            <w:shd w:val="clear" w:color="auto" w:fill="auto"/>
            <w:vAlign w:val="center"/>
          </w:tcPr>
          <w:p w14:paraId="76F50DF6" w14:textId="2C5BC195" w:rsidR="00E5289C" w:rsidRPr="00D968E2" w:rsidRDefault="00D82641" w:rsidP="00E27EEE">
            <w:pPr>
              <w:pStyle w:val="TableTextLeft-Arial"/>
            </w:pPr>
            <w:r w:rsidRPr="00D968E2">
              <w:t>657A,D&amp;E</w:t>
            </w:r>
          </w:p>
        </w:tc>
        <w:tc>
          <w:tcPr>
            <w:tcW w:w="1488" w:type="pct"/>
            <w:shd w:val="clear" w:color="auto" w:fill="auto"/>
            <w:vAlign w:val="center"/>
          </w:tcPr>
          <w:p w14:paraId="322588C9" w14:textId="375E493F" w:rsidR="00E5289C" w:rsidRPr="00BA3E45" w:rsidRDefault="00E5289C" w:rsidP="00E27EEE">
            <w:pPr>
              <w:pStyle w:val="TableTextLeft-Arial"/>
            </w:pPr>
            <w:bookmarkStart w:id="521" w:name="_Hlk174365009"/>
            <w:r w:rsidRPr="00BA3E45">
              <w:t>Sierra Rutile Holdings Limited</w:t>
            </w:r>
            <w:bookmarkEnd w:id="521"/>
          </w:p>
        </w:tc>
        <w:tc>
          <w:tcPr>
            <w:tcW w:w="1012" w:type="pct"/>
            <w:shd w:val="clear" w:color="auto" w:fill="auto"/>
            <w:vAlign w:val="center"/>
          </w:tcPr>
          <w:p w14:paraId="64FD4894" w14:textId="23413D01" w:rsidR="00E5289C" w:rsidRPr="00D968E2" w:rsidRDefault="00E5289C" w:rsidP="00E27EEE">
            <w:pPr>
              <w:pStyle w:val="TableTextLeft-Arial"/>
            </w:pPr>
            <w:r w:rsidRPr="00D968E2">
              <w:t>Decline to conduct</w:t>
            </w:r>
          </w:p>
        </w:tc>
        <w:tc>
          <w:tcPr>
            <w:tcW w:w="476" w:type="pct"/>
            <w:shd w:val="clear" w:color="auto" w:fill="auto"/>
            <w:vAlign w:val="center"/>
          </w:tcPr>
          <w:p w14:paraId="63D6537E" w14:textId="71D57570" w:rsidR="00E5289C" w:rsidRPr="00D968E2" w:rsidRDefault="00E5289C" w:rsidP="00E27EEE">
            <w:pPr>
              <w:pStyle w:val="TableTextLeft-Arial"/>
            </w:pPr>
            <w:r w:rsidRPr="00D968E2">
              <w:t>23/05/2024</w:t>
            </w:r>
          </w:p>
        </w:tc>
        <w:tc>
          <w:tcPr>
            <w:tcW w:w="476" w:type="pct"/>
            <w:shd w:val="clear" w:color="auto" w:fill="auto"/>
            <w:vAlign w:val="center"/>
          </w:tcPr>
          <w:p w14:paraId="304E0109" w14:textId="286D4BD9" w:rsidR="00E5289C" w:rsidRPr="00D968E2" w:rsidRDefault="00E5289C" w:rsidP="00E27EEE">
            <w:pPr>
              <w:pStyle w:val="TableTextLeft-Arial"/>
            </w:pPr>
            <w:r w:rsidRPr="00D968E2">
              <w:t>14/06/2024</w:t>
            </w:r>
          </w:p>
        </w:tc>
        <w:tc>
          <w:tcPr>
            <w:tcW w:w="417" w:type="pct"/>
            <w:shd w:val="clear" w:color="auto" w:fill="auto"/>
            <w:vAlign w:val="center"/>
          </w:tcPr>
          <w:p w14:paraId="3B8A7E34" w14:textId="1E7760D2" w:rsidR="00E5289C" w:rsidRPr="00D968E2" w:rsidRDefault="00E5289C" w:rsidP="00E27EEE">
            <w:pPr>
              <w:pStyle w:val="TableTextRight-Arial"/>
              <w:jc w:val="left"/>
            </w:pPr>
            <w:r w:rsidRPr="00D968E2">
              <w:t>22</w:t>
            </w:r>
          </w:p>
        </w:tc>
      </w:tr>
      <w:tr w:rsidR="00E5289C" w:rsidRPr="00D968E2" w14:paraId="5E4B3A00" w14:textId="77777777" w:rsidTr="00E27EEE">
        <w:trPr>
          <w:trHeight w:val="20"/>
        </w:trPr>
        <w:tc>
          <w:tcPr>
            <w:tcW w:w="236" w:type="pct"/>
            <w:shd w:val="clear" w:color="auto" w:fill="F2F2F2" w:themeFill="background1" w:themeFillShade="F2"/>
            <w:vAlign w:val="center"/>
          </w:tcPr>
          <w:p w14:paraId="6322295F" w14:textId="3F2734B7" w:rsidR="00E5289C" w:rsidRPr="00D968E2" w:rsidRDefault="00E5289C" w:rsidP="00E5289C">
            <w:pPr>
              <w:pStyle w:val="TableColumnHeadingLeft"/>
              <w:jc w:val="center"/>
            </w:pPr>
            <w:r w:rsidRPr="00D968E2">
              <w:t>22</w:t>
            </w:r>
          </w:p>
        </w:tc>
        <w:tc>
          <w:tcPr>
            <w:tcW w:w="477" w:type="pct"/>
            <w:shd w:val="clear" w:color="auto" w:fill="F2F2F2" w:themeFill="background1" w:themeFillShade="F2"/>
            <w:vAlign w:val="center"/>
          </w:tcPr>
          <w:p w14:paraId="309A1D72" w14:textId="2C86D685" w:rsidR="00E5289C" w:rsidRPr="00D968E2" w:rsidRDefault="00E5289C" w:rsidP="00E27EEE">
            <w:pPr>
              <w:pStyle w:val="TableTextLeft-Arial"/>
            </w:pPr>
            <w:r w:rsidRPr="00D968E2">
              <w:t>2024/13</w:t>
            </w:r>
          </w:p>
        </w:tc>
        <w:tc>
          <w:tcPr>
            <w:tcW w:w="418" w:type="pct"/>
            <w:shd w:val="clear" w:color="auto" w:fill="F2F2F2" w:themeFill="background1" w:themeFillShade="F2"/>
            <w:vAlign w:val="center"/>
          </w:tcPr>
          <w:p w14:paraId="23686287" w14:textId="2273E83B" w:rsidR="00E5289C" w:rsidRPr="00D968E2" w:rsidRDefault="00D82641" w:rsidP="00E27EEE">
            <w:pPr>
              <w:pStyle w:val="TableTextLeft-Arial"/>
            </w:pPr>
            <w:r w:rsidRPr="00D968E2">
              <w:t>657A&amp;D</w:t>
            </w:r>
          </w:p>
        </w:tc>
        <w:tc>
          <w:tcPr>
            <w:tcW w:w="1488" w:type="pct"/>
            <w:shd w:val="clear" w:color="auto" w:fill="F2F2F2" w:themeFill="background1" w:themeFillShade="F2"/>
            <w:vAlign w:val="center"/>
          </w:tcPr>
          <w:p w14:paraId="76988CC9" w14:textId="372CD053" w:rsidR="00E5289C" w:rsidRPr="00BA3E45" w:rsidRDefault="00E5289C" w:rsidP="00E27EEE">
            <w:pPr>
              <w:pStyle w:val="TableTextLeft-Arial"/>
            </w:pPr>
            <w:bookmarkStart w:id="522" w:name="_Hlk174365141"/>
            <w:r w:rsidRPr="00BA3E45">
              <w:t>Westgold Resources Limited</w:t>
            </w:r>
            <w:bookmarkEnd w:id="522"/>
          </w:p>
        </w:tc>
        <w:tc>
          <w:tcPr>
            <w:tcW w:w="1012" w:type="pct"/>
            <w:shd w:val="clear" w:color="auto" w:fill="F2F2F2" w:themeFill="background1" w:themeFillShade="F2"/>
            <w:vAlign w:val="center"/>
          </w:tcPr>
          <w:p w14:paraId="555E009E" w14:textId="18CE1D37" w:rsidR="00E5289C" w:rsidRPr="00D968E2" w:rsidRDefault="00E5289C" w:rsidP="00E27EEE">
            <w:pPr>
              <w:pStyle w:val="TableTextLeft-Arial"/>
            </w:pPr>
            <w:r w:rsidRPr="00D968E2">
              <w:t>Conducted, no declaration, undertaking/action by party</w:t>
            </w:r>
          </w:p>
        </w:tc>
        <w:tc>
          <w:tcPr>
            <w:tcW w:w="476" w:type="pct"/>
            <w:shd w:val="clear" w:color="auto" w:fill="F2F2F2" w:themeFill="background1" w:themeFillShade="F2"/>
            <w:vAlign w:val="center"/>
          </w:tcPr>
          <w:p w14:paraId="124A8225" w14:textId="250733A3" w:rsidR="00E5289C" w:rsidRPr="00D968E2" w:rsidRDefault="00E5289C" w:rsidP="00E27EEE">
            <w:pPr>
              <w:pStyle w:val="TableTextLeft-Arial"/>
            </w:pPr>
            <w:r w:rsidRPr="00D968E2">
              <w:t>27/05/2024</w:t>
            </w:r>
          </w:p>
        </w:tc>
        <w:tc>
          <w:tcPr>
            <w:tcW w:w="476" w:type="pct"/>
            <w:shd w:val="clear" w:color="auto" w:fill="F2F2F2" w:themeFill="background1" w:themeFillShade="F2"/>
            <w:vAlign w:val="center"/>
          </w:tcPr>
          <w:p w14:paraId="4F6F89A0" w14:textId="04037943" w:rsidR="00E5289C" w:rsidRPr="00D968E2" w:rsidRDefault="00E5289C" w:rsidP="00E27EEE">
            <w:pPr>
              <w:pStyle w:val="TableTextLeft-Arial"/>
            </w:pPr>
            <w:r w:rsidRPr="00D968E2">
              <w:t>8/07/2024</w:t>
            </w:r>
          </w:p>
        </w:tc>
        <w:tc>
          <w:tcPr>
            <w:tcW w:w="417" w:type="pct"/>
            <w:shd w:val="clear" w:color="auto" w:fill="F2F2F2" w:themeFill="background1" w:themeFillShade="F2"/>
            <w:vAlign w:val="center"/>
          </w:tcPr>
          <w:p w14:paraId="04FFA435" w14:textId="64CA29BC" w:rsidR="00E5289C" w:rsidRPr="00D968E2" w:rsidRDefault="00E5289C" w:rsidP="00E27EEE">
            <w:pPr>
              <w:pStyle w:val="TableTextRight-Arial"/>
              <w:jc w:val="left"/>
            </w:pPr>
            <w:r w:rsidRPr="00D968E2">
              <w:t>42</w:t>
            </w:r>
          </w:p>
        </w:tc>
      </w:tr>
      <w:tr w:rsidR="00E5289C" w:rsidRPr="00D968E2" w14:paraId="45CDF182" w14:textId="77777777" w:rsidTr="00E27EEE">
        <w:trPr>
          <w:trHeight w:val="20"/>
        </w:trPr>
        <w:tc>
          <w:tcPr>
            <w:tcW w:w="236" w:type="pct"/>
            <w:shd w:val="clear" w:color="auto" w:fill="auto"/>
            <w:vAlign w:val="center"/>
          </w:tcPr>
          <w:p w14:paraId="4A295712" w14:textId="015B42E2" w:rsidR="00E5289C" w:rsidRPr="00D968E2" w:rsidRDefault="00E5289C" w:rsidP="00E5289C">
            <w:pPr>
              <w:pStyle w:val="TableColumnHeadingLeft"/>
              <w:jc w:val="center"/>
            </w:pPr>
            <w:r w:rsidRPr="00D968E2">
              <w:t>23</w:t>
            </w:r>
          </w:p>
        </w:tc>
        <w:tc>
          <w:tcPr>
            <w:tcW w:w="477" w:type="pct"/>
            <w:shd w:val="clear" w:color="auto" w:fill="auto"/>
            <w:vAlign w:val="center"/>
          </w:tcPr>
          <w:p w14:paraId="2EFE2881" w14:textId="4BE07A9E" w:rsidR="00E5289C" w:rsidRPr="00D968E2" w:rsidRDefault="00E5289C" w:rsidP="00E27EEE">
            <w:pPr>
              <w:pStyle w:val="TableTextLeft-Arial"/>
            </w:pPr>
            <w:r w:rsidRPr="00D968E2">
              <w:t>2024/14</w:t>
            </w:r>
          </w:p>
        </w:tc>
        <w:tc>
          <w:tcPr>
            <w:tcW w:w="418" w:type="pct"/>
            <w:shd w:val="clear" w:color="auto" w:fill="auto"/>
            <w:vAlign w:val="center"/>
          </w:tcPr>
          <w:p w14:paraId="6764A3F8" w14:textId="56976061" w:rsidR="00E5289C" w:rsidRPr="00D968E2" w:rsidRDefault="00D82641" w:rsidP="00E27EEE">
            <w:pPr>
              <w:pStyle w:val="TableTextLeft-Arial"/>
            </w:pPr>
            <w:r w:rsidRPr="00D968E2">
              <w:t>657A,D&amp;E</w:t>
            </w:r>
          </w:p>
        </w:tc>
        <w:tc>
          <w:tcPr>
            <w:tcW w:w="1488" w:type="pct"/>
            <w:shd w:val="clear" w:color="auto" w:fill="auto"/>
            <w:vAlign w:val="center"/>
          </w:tcPr>
          <w:p w14:paraId="1AF34966" w14:textId="4D40E335" w:rsidR="00E5289C" w:rsidRPr="00BA3E45" w:rsidRDefault="00E5289C" w:rsidP="00E27EEE">
            <w:pPr>
              <w:pStyle w:val="TableTextLeft-Arial"/>
            </w:pPr>
            <w:bookmarkStart w:id="523" w:name="_Hlk174378127"/>
            <w:r w:rsidRPr="00BA3E45">
              <w:t>Locality Planning Energy Holdings Limited</w:t>
            </w:r>
            <w:bookmarkEnd w:id="523"/>
          </w:p>
        </w:tc>
        <w:tc>
          <w:tcPr>
            <w:tcW w:w="1012" w:type="pct"/>
            <w:shd w:val="clear" w:color="auto" w:fill="auto"/>
            <w:vAlign w:val="center"/>
          </w:tcPr>
          <w:p w14:paraId="02537B8A" w14:textId="36439641" w:rsidR="00E5289C" w:rsidRPr="00D968E2" w:rsidRDefault="00E5289C" w:rsidP="00E27EEE">
            <w:pPr>
              <w:pStyle w:val="TableTextLeft-Arial"/>
            </w:pPr>
            <w:r w:rsidRPr="00D968E2">
              <w:t>Conducted, no declaration, undertaking/action by party</w:t>
            </w:r>
          </w:p>
        </w:tc>
        <w:tc>
          <w:tcPr>
            <w:tcW w:w="476" w:type="pct"/>
            <w:shd w:val="clear" w:color="auto" w:fill="auto"/>
            <w:vAlign w:val="center"/>
          </w:tcPr>
          <w:p w14:paraId="57B71A6C" w14:textId="2054C810" w:rsidR="00E5289C" w:rsidRPr="00D968E2" w:rsidRDefault="00E5289C" w:rsidP="00E27EEE">
            <w:pPr>
              <w:pStyle w:val="TableTextLeft-Arial"/>
            </w:pPr>
            <w:r w:rsidRPr="00D968E2">
              <w:t>28/05/2024</w:t>
            </w:r>
          </w:p>
        </w:tc>
        <w:tc>
          <w:tcPr>
            <w:tcW w:w="476" w:type="pct"/>
            <w:shd w:val="clear" w:color="auto" w:fill="auto"/>
            <w:vAlign w:val="center"/>
          </w:tcPr>
          <w:p w14:paraId="267D9168" w14:textId="144FA003" w:rsidR="00E5289C" w:rsidRPr="00D968E2" w:rsidRDefault="00E5289C" w:rsidP="00E27EEE">
            <w:pPr>
              <w:pStyle w:val="TableTextLeft-Arial"/>
            </w:pPr>
            <w:r w:rsidRPr="00D968E2">
              <w:t>10/07/2024</w:t>
            </w:r>
          </w:p>
        </w:tc>
        <w:tc>
          <w:tcPr>
            <w:tcW w:w="417" w:type="pct"/>
            <w:shd w:val="clear" w:color="auto" w:fill="auto"/>
            <w:vAlign w:val="center"/>
          </w:tcPr>
          <w:p w14:paraId="3A400A0A" w14:textId="3AAFFC25" w:rsidR="00E5289C" w:rsidRPr="00D968E2" w:rsidRDefault="00E5289C" w:rsidP="00E27EEE">
            <w:pPr>
              <w:pStyle w:val="TableTextRight-Arial"/>
              <w:jc w:val="left"/>
            </w:pPr>
            <w:r w:rsidRPr="00D968E2">
              <w:t>43</w:t>
            </w:r>
          </w:p>
        </w:tc>
      </w:tr>
      <w:tr w:rsidR="00E5289C" w:rsidRPr="00D968E2" w14:paraId="67962FDB" w14:textId="77777777" w:rsidTr="00E27EEE">
        <w:trPr>
          <w:trHeight w:val="20"/>
        </w:trPr>
        <w:tc>
          <w:tcPr>
            <w:tcW w:w="236" w:type="pct"/>
            <w:shd w:val="clear" w:color="auto" w:fill="F2F2F2" w:themeFill="background1" w:themeFillShade="F2"/>
            <w:vAlign w:val="center"/>
          </w:tcPr>
          <w:p w14:paraId="3119823D" w14:textId="2B8E4096" w:rsidR="00E5289C" w:rsidRPr="00D968E2" w:rsidRDefault="00E5289C" w:rsidP="00E5289C">
            <w:pPr>
              <w:pStyle w:val="TableColumnHeadingLeft"/>
              <w:jc w:val="center"/>
            </w:pPr>
            <w:r w:rsidRPr="00D968E2">
              <w:t>24</w:t>
            </w:r>
          </w:p>
        </w:tc>
        <w:tc>
          <w:tcPr>
            <w:tcW w:w="477" w:type="pct"/>
            <w:shd w:val="clear" w:color="auto" w:fill="F2F2F2" w:themeFill="background1" w:themeFillShade="F2"/>
            <w:vAlign w:val="center"/>
          </w:tcPr>
          <w:p w14:paraId="3AA61F33" w14:textId="7DCCD21E" w:rsidR="00E5289C" w:rsidRPr="00D968E2" w:rsidRDefault="00E5289C" w:rsidP="00E27EEE">
            <w:pPr>
              <w:pStyle w:val="TableTextLeft-Arial"/>
            </w:pPr>
            <w:r w:rsidRPr="00D968E2">
              <w:t>2024/15</w:t>
            </w:r>
          </w:p>
        </w:tc>
        <w:tc>
          <w:tcPr>
            <w:tcW w:w="418" w:type="pct"/>
            <w:shd w:val="clear" w:color="auto" w:fill="F2F2F2" w:themeFill="background1" w:themeFillShade="F2"/>
            <w:vAlign w:val="center"/>
          </w:tcPr>
          <w:p w14:paraId="1207B47B" w14:textId="35E83801" w:rsidR="00E5289C" w:rsidRPr="00D968E2" w:rsidRDefault="00D82641" w:rsidP="00E27EEE">
            <w:pPr>
              <w:pStyle w:val="TableTextLeft-Arial"/>
            </w:pPr>
            <w:r w:rsidRPr="00D968E2">
              <w:t>657A,D&amp;E</w:t>
            </w:r>
          </w:p>
        </w:tc>
        <w:tc>
          <w:tcPr>
            <w:tcW w:w="1488" w:type="pct"/>
            <w:shd w:val="clear" w:color="auto" w:fill="F2F2F2" w:themeFill="background1" w:themeFillShade="F2"/>
            <w:vAlign w:val="center"/>
          </w:tcPr>
          <w:p w14:paraId="4CA39B10" w14:textId="4D59470A" w:rsidR="00E5289C" w:rsidRPr="00BA3E45" w:rsidRDefault="00E5289C" w:rsidP="00E27EEE">
            <w:pPr>
              <w:pStyle w:val="TableTextLeft-Arial"/>
            </w:pPr>
            <w:bookmarkStart w:id="524" w:name="_Hlk174377904"/>
            <w:r w:rsidRPr="00BA3E45">
              <w:t>Energy Resources of Australia Limited 03</w:t>
            </w:r>
            <w:bookmarkEnd w:id="524"/>
          </w:p>
        </w:tc>
        <w:tc>
          <w:tcPr>
            <w:tcW w:w="1012" w:type="pct"/>
            <w:shd w:val="clear" w:color="auto" w:fill="F2F2F2" w:themeFill="background1" w:themeFillShade="F2"/>
            <w:vAlign w:val="center"/>
          </w:tcPr>
          <w:p w14:paraId="3B80A07C" w14:textId="59E81C32" w:rsidR="00E5289C" w:rsidRPr="00D968E2" w:rsidRDefault="00E5289C" w:rsidP="00E27EEE">
            <w:pPr>
              <w:pStyle w:val="TableTextLeft-Arial"/>
            </w:pPr>
            <w:r w:rsidRPr="00D968E2">
              <w:t>Decline to conduct</w:t>
            </w:r>
          </w:p>
        </w:tc>
        <w:tc>
          <w:tcPr>
            <w:tcW w:w="476" w:type="pct"/>
            <w:shd w:val="clear" w:color="auto" w:fill="F2F2F2" w:themeFill="background1" w:themeFillShade="F2"/>
            <w:vAlign w:val="center"/>
          </w:tcPr>
          <w:p w14:paraId="50998F8F" w14:textId="6F8BCB1A" w:rsidR="00E5289C" w:rsidRPr="00D968E2" w:rsidRDefault="00E5289C" w:rsidP="00E27EEE">
            <w:pPr>
              <w:pStyle w:val="TableTextLeft-Arial"/>
            </w:pPr>
            <w:r w:rsidRPr="00D968E2">
              <w:t>29/05/2024</w:t>
            </w:r>
          </w:p>
        </w:tc>
        <w:tc>
          <w:tcPr>
            <w:tcW w:w="476" w:type="pct"/>
            <w:shd w:val="clear" w:color="auto" w:fill="F2F2F2" w:themeFill="background1" w:themeFillShade="F2"/>
            <w:vAlign w:val="center"/>
          </w:tcPr>
          <w:p w14:paraId="2E254AF9" w14:textId="4DBA4E0F" w:rsidR="00E5289C" w:rsidRPr="00D968E2" w:rsidRDefault="00E5289C" w:rsidP="00E27EEE">
            <w:pPr>
              <w:pStyle w:val="TableTextLeft-Arial"/>
            </w:pPr>
            <w:r w:rsidRPr="00D968E2">
              <w:t>18/06/2024</w:t>
            </w:r>
          </w:p>
        </w:tc>
        <w:tc>
          <w:tcPr>
            <w:tcW w:w="417" w:type="pct"/>
            <w:shd w:val="clear" w:color="auto" w:fill="F2F2F2" w:themeFill="background1" w:themeFillShade="F2"/>
            <w:vAlign w:val="center"/>
          </w:tcPr>
          <w:p w14:paraId="67BA0D1E" w14:textId="0C68F208" w:rsidR="00E5289C" w:rsidRPr="00D968E2" w:rsidRDefault="00E5289C" w:rsidP="00E27EEE">
            <w:pPr>
              <w:pStyle w:val="TableTextRight-Arial"/>
              <w:jc w:val="left"/>
            </w:pPr>
            <w:r w:rsidRPr="00D968E2">
              <w:t>20</w:t>
            </w:r>
          </w:p>
        </w:tc>
      </w:tr>
      <w:tr w:rsidR="00E5289C" w:rsidRPr="00990E92" w14:paraId="45F82548" w14:textId="77777777" w:rsidTr="00E27EEE">
        <w:trPr>
          <w:trHeight w:val="20"/>
        </w:trPr>
        <w:tc>
          <w:tcPr>
            <w:tcW w:w="236" w:type="pct"/>
            <w:tcBorders>
              <w:bottom w:val="single" w:sz="4" w:space="0" w:color="auto"/>
            </w:tcBorders>
            <w:shd w:val="clear" w:color="auto" w:fill="auto"/>
            <w:vAlign w:val="center"/>
          </w:tcPr>
          <w:p w14:paraId="61AB317F" w14:textId="186C5958" w:rsidR="00E5289C" w:rsidRPr="00D968E2" w:rsidRDefault="00E5289C" w:rsidP="00E5289C">
            <w:pPr>
              <w:pStyle w:val="TableColumnHeadingLeft"/>
              <w:jc w:val="center"/>
            </w:pPr>
            <w:r w:rsidRPr="00D968E2">
              <w:t>25</w:t>
            </w:r>
          </w:p>
        </w:tc>
        <w:tc>
          <w:tcPr>
            <w:tcW w:w="477" w:type="pct"/>
            <w:tcBorders>
              <w:bottom w:val="single" w:sz="4" w:space="0" w:color="auto"/>
            </w:tcBorders>
            <w:shd w:val="clear" w:color="auto" w:fill="auto"/>
            <w:vAlign w:val="center"/>
          </w:tcPr>
          <w:p w14:paraId="7F96C706" w14:textId="35A5B71E" w:rsidR="00E5289C" w:rsidRPr="00D968E2" w:rsidRDefault="00E5289C" w:rsidP="00E27EEE">
            <w:pPr>
              <w:pStyle w:val="TableTextLeft-Arial"/>
            </w:pPr>
            <w:r w:rsidRPr="00D968E2">
              <w:t>2024/16</w:t>
            </w:r>
          </w:p>
        </w:tc>
        <w:tc>
          <w:tcPr>
            <w:tcW w:w="418" w:type="pct"/>
            <w:tcBorders>
              <w:bottom w:val="single" w:sz="4" w:space="0" w:color="auto"/>
            </w:tcBorders>
            <w:shd w:val="clear" w:color="auto" w:fill="auto"/>
            <w:vAlign w:val="center"/>
          </w:tcPr>
          <w:p w14:paraId="565E34FA" w14:textId="1C360A3C" w:rsidR="00E5289C" w:rsidRPr="00D968E2" w:rsidRDefault="00466223" w:rsidP="00E27EEE">
            <w:pPr>
              <w:pStyle w:val="TableTextLeft-Arial"/>
            </w:pPr>
            <w:r w:rsidRPr="00D968E2">
              <w:t>657EA</w:t>
            </w:r>
          </w:p>
        </w:tc>
        <w:tc>
          <w:tcPr>
            <w:tcW w:w="1488" w:type="pct"/>
            <w:tcBorders>
              <w:bottom w:val="single" w:sz="4" w:space="0" w:color="auto"/>
            </w:tcBorders>
            <w:shd w:val="clear" w:color="auto" w:fill="auto"/>
            <w:vAlign w:val="center"/>
          </w:tcPr>
          <w:p w14:paraId="77234823" w14:textId="75071BDA" w:rsidR="00E5289C" w:rsidRPr="00BA3E45" w:rsidRDefault="00E5289C" w:rsidP="00E27EEE">
            <w:pPr>
              <w:pStyle w:val="TableTextLeft-Arial"/>
            </w:pPr>
            <w:bookmarkStart w:id="525" w:name="_Hlk174365021"/>
            <w:r w:rsidRPr="00BA3E45">
              <w:t>Ringers Western Limited 02R</w:t>
            </w:r>
            <w:bookmarkEnd w:id="525"/>
          </w:p>
        </w:tc>
        <w:tc>
          <w:tcPr>
            <w:tcW w:w="1012" w:type="pct"/>
            <w:tcBorders>
              <w:bottom w:val="single" w:sz="4" w:space="0" w:color="auto"/>
            </w:tcBorders>
            <w:shd w:val="clear" w:color="auto" w:fill="auto"/>
            <w:vAlign w:val="center"/>
          </w:tcPr>
          <w:p w14:paraId="1F936772" w14:textId="388E892D" w:rsidR="00E5289C" w:rsidRPr="00D968E2" w:rsidRDefault="00E5289C" w:rsidP="00E27EEE">
            <w:pPr>
              <w:pStyle w:val="TableTextLeft-Arial"/>
            </w:pPr>
            <w:r w:rsidRPr="00D968E2">
              <w:t>Declaration and order(s)</w:t>
            </w:r>
          </w:p>
        </w:tc>
        <w:tc>
          <w:tcPr>
            <w:tcW w:w="476" w:type="pct"/>
            <w:tcBorders>
              <w:bottom w:val="single" w:sz="4" w:space="0" w:color="auto"/>
            </w:tcBorders>
            <w:shd w:val="clear" w:color="auto" w:fill="auto"/>
            <w:vAlign w:val="center"/>
          </w:tcPr>
          <w:p w14:paraId="74F43649" w14:textId="60FB949C" w:rsidR="00E5289C" w:rsidRPr="00D968E2" w:rsidRDefault="00E5289C" w:rsidP="00E27EEE">
            <w:pPr>
              <w:pStyle w:val="TableTextLeft-Arial"/>
            </w:pPr>
            <w:r w:rsidRPr="00D968E2">
              <w:t>5/06/2024</w:t>
            </w:r>
          </w:p>
        </w:tc>
        <w:tc>
          <w:tcPr>
            <w:tcW w:w="476" w:type="pct"/>
            <w:tcBorders>
              <w:bottom w:val="single" w:sz="4" w:space="0" w:color="auto"/>
            </w:tcBorders>
            <w:shd w:val="clear" w:color="auto" w:fill="auto"/>
            <w:vAlign w:val="center"/>
          </w:tcPr>
          <w:p w14:paraId="57D37F5C" w14:textId="7F516D69" w:rsidR="00E5289C" w:rsidRPr="00D968E2" w:rsidRDefault="00E5289C" w:rsidP="00E27EEE">
            <w:pPr>
              <w:pStyle w:val="TableTextLeft-Arial"/>
            </w:pPr>
            <w:r w:rsidRPr="00D968E2">
              <w:t>15/07/2024</w:t>
            </w:r>
          </w:p>
        </w:tc>
        <w:tc>
          <w:tcPr>
            <w:tcW w:w="417" w:type="pct"/>
            <w:tcBorders>
              <w:bottom w:val="single" w:sz="4" w:space="0" w:color="auto"/>
            </w:tcBorders>
            <w:shd w:val="clear" w:color="auto" w:fill="auto"/>
            <w:vAlign w:val="center"/>
          </w:tcPr>
          <w:p w14:paraId="67C9DB8A" w14:textId="3119E789" w:rsidR="00E5289C" w:rsidRPr="004A222F" w:rsidRDefault="00E5289C" w:rsidP="00E27EEE">
            <w:pPr>
              <w:pStyle w:val="TableTextRight-Arial"/>
              <w:jc w:val="left"/>
            </w:pPr>
            <w:r w:rsidRPr="00D968E2">
              <w:t>40</w:t>
            </w:r>
          </w:p>
        </w:tc>
      </w:tr>
    </w:tbl>
    <w:p w14:paraId="379952A9" w14:textId="77FD761F" w:rsidR="00D0271A" w:rsidRPr="0030474C" w:rsidRDefault="00CC73CE" w:rsidP="00C42982">
      <w:pPr>
        <w:pStyle w:val="TableMainHeading"/>
        <w:spacing w:before="360"/>
      </w:pPr>
      <w:bookmarkStart w:id="526" w:name="_Toc146790822"/>
      <w:r w:rsidRPr="0030474C">
        <w:lastRenderedPageBreak/>
        <w:t>Table </w:t>
      </w:r>
      <w:r w:rsidR="00D0271A" w:rsidRPr="0030474C">
        <w:t>1</w:t>
      </w:r>
      <w:r w:rsidR="002D2C29">
        <w:t>4</w:t>
      </w:r>
      <w:r w:rsidR="00D0271A" w:rsidRPr="0030474C">
        <w:t>: Outcomes of review applications</w:t>
      </w:r>
      <w:r w:rsidR="00D0271A" w:rsidRPr="0030474C">
        <w:fldChar w:fldCharType="begin"/>
      </w:r>
      <w:r w:rsidR="00D0271A" w:rsidRPr="0030474C">
        <w:instrText>xe "</w:instrText>
      </w:r>
      <w:r w:rsidR="00AF21F9" w:rsidRPr="0030474C">
        <w:instrText>Review of a Panel decision</w:instrText>
      </w:r>
      <w:r w:rsidR="00D0271A" w:rsidRPr="0030474C">
        <w:instrText>"</w:instrText>
      </w:r>
      <w:r w:rsidR="00D0271A" w:rsidRPr="0030474C">
        <w:fldChar w:fldCharType="end"/>
      </w:r>
      <w:r w:rsidR="00D0271A" w:rsidRPr="0030474C">
        <w:t xml:space="preserve"> received by the Panel</w:t>
      </w:r>
      <w:r w:rsidRPr="0030474C">
        <w:t> </w:t>
      </w:r>
      <w:r w:rsidR="00D0271A" w:rsidRPr="0030474C">
        <w:t>in</w:t>
      </w:r>
      <w:r w:rsidRPr="0030474C">
        <w:t> </w:t>
      </w:r>
      <w:r w:rsidR="00D0271A" w:rsidRPr="0030474C">
        <w:t>202</w:t>
      </w:r>
      <w:bookmarkEnd w:id="526"/>
      <w:r w:rsidR="0030474C" w:rsidRPr="0030474C">
        <w:t>3</w:t>
      </w:r>
      <w:r w:rsidR="00FE4098">
        <w:t>–</w:t>
      </w:r>
      <w:r w:rsidR="0030474C" w:rsidRPr="0030474C">
        <w:t>24</w:t>
      </w:r>
    </w:p>
    <w:tbl>
      <w:tblPr>
        <w:tblW w:w="4995" w:type="pct"/>
        <w:tblLayout w:type="fixed"/>
        <w:tblCellMar>
          <w:left w:w="57" w:type="dxa"/>
          <w:right w:w="57" w:type="dxa"/>
        </w:tblCellMar>
        <w:tblLook w:val="0000" w:firstRow="0" w:lastRow="0" w:firstColumn="0" w:lastColumn="0" w:noHBand="0" w:noVBand="0"/>
      </w:tblPr>
      <w:tblGrid>
        <w:gridCol w:w="554"/>
        <w:gridCol w:w="1135"/>
        <w:gridCol w:w="3555"/>
        <w:gridCol w:w="3250"/>
        <w:gridCol w:w="3402"/>
      </w:tblGrid>
      <w:tr w:rsidR="00192E48" w:rsidRPr="0030474C" w14:paraId="488B1395" w14:textId="77777777" w:rsidTr="00E27EEE">
        <w:trPr>
          <w:trHeight w:val="20"/>
          <w:tblHeader/>
        </w:trPr>
        <w:tc>
          <w:tcPr>
            <w:tcW w:w="233" w:type="pct"/>
            <w:tcBorders>
              <w:top w:val="single" w:sz="4" w:space="0" w:color="1F497D"/>
              <w:bottom w:val="single" w:sz="4" w:space="0" w:color="1F497D"/>
            </w:tcBorders>
            <w:shd w:val="clear" w:color="auto" w:fill="0E406A" w:themeFill="accent1"/>
            <w:vAlign w:val="center"/>
          </w:tcPr>
          <w:p w14:paraId="1004FB48" w14:textId="77777777" w:rsidR="00872609" w:rsidRPr="0030474C" w:rsidRDefault="00872609" w:rsidP="00EF78C2">
            <w:pPr>
              <w:pStyle w:val="TableColumnHeadingLeft"/>
            </w:pPr>
          </w:p>
        </w:tc>
        <w:tc>
          <w:tcPr>
            <w:tcW w:w="477" w:type="pct"/>
            <w:tcBorders>
              <w:top w:val="single" w:sz="4" w:space="0" w:color="1F497D"/>
              <w:bottom w:val="single" w:sz="4" w:space="0" w:color="1F497D"/>
            </w:tcBorders>
            <w:shd w:val="clear" w:color="auto" w:fill="0E406A" w:themeFill="accent1"/>
            <w:vAlign w:val="center"/>
          </w:tcPr>
          <w:p w14:paraId="2A28C37D" w14:textId="77777777" w:rsidR="00872609" w:rsidRPr="0030474C" w:rsidRDefault="00872609" w:rsidP="00EF78C2">
            <w:pPr>
              <w:pStyle w:val="TableColumnHeadingLeft"/>
            </w:pPr>
            <w:r w:rsidRPr="0030474C">
              <w:t>Matter No.</w:t>
            </w:r>
          </w:p>
        </w:tc>
        <w:tc>
          <w:tcPr>
            <w:tcW w:w="1494" w:type="pct"/>
            <w:tcBorders>
              <w:top w:val="single" w:sz="4" w:space="0" w:color="1F497D"/>
              <w:bottom w:val="single" w:sz="4" w:space="0" w:color="1F497D"/>
            </w:tcBorders>
            <w:shd w:val="clear" w:color="auto" w:fill="0E406A" w:themeFill="accent1"/>
            <w:vAlign w:val="center"/>
          </w:tcPr>
          <w:p w14:paraId="4FF9DAB9" w14:textId="18149994" w:rsidR="00872609" w:rsidRPr="0030474C" w:rsidRDefault="00872609" w:rsidP="00EF78C2">
            <w:pPr>
              <w:pStyle w:val="TableColumnHeadingLeft"/>
            </w:pPr>
            <w:r w:rsidRPr="0030474C">
              <w:t>Review matter name</w:t>
            </w:r>
          </w:p>
        </w:tc>
        <w:tc>
          <w:tcPr>
            <w:tcW w:w="1366" w:type="pct"/>
            <w:tcBorders>
              <w:top w:val="single" w:sz="4" w:space="0" w:color="1F497D"/>
              <w:bottom w:val="single" w:sz="4" w:space="0" w:color="1F497D"/>
            </w:tcBorders>
            <w:shd w:val="clear" w:color="auto" w:fill="0E406A" w:themeFill="accent1"/>
            <w:vAlign w:val="center"/>
          </w:tcPr>
          <w:p w14:paraId="3F48B8C2" w14:textId="5974459B" w:rsidR="00872609" w:rsidRPr="0030474C" w:rsidRDefault="00872609" w:rsidP="00EF78C2">
            <w:pPr>
              <w:pStyle w:val="TableColumnHeadingLeft"/>
            </w:pPr>
            <w:r w:rsidRPr="0030474C">
              <w:t>Matter reviewed</w:t>
            </w:r>
          </w:p>
        </w:tc>
        <w:tc>
          <w:tcPr>
            <w:tcW w:w="1430" w:type="pct"/>
            <w:tcBorders>
              <w:top w:val="single" w:sz="4" w:space="0" w:color="1F497D"/>
              <w:bottom w:val="single" w:sz="4" w:space="0" w:color="1F497D"/>
            </w:tcBorders>
            <w:shd w:val="clear" w:color="auto" w:fill="0E406A" w:themeFill="accent1"/>
            <w:vAlign w:val="center"/>
          </w:tcPr>
          <w:p w14:paraId="5A49493A" w14:textId="5B947885" w:rsidR="00872609" w:rsidRPr="0030474C" w:rsidRDefault="00872609" w:rsidP="00EF78C2">
            <w:pPr>
              <w:pStyle w:val="TableColumnHeadingLeft"/>
            </w:pPr>
            <w:r w:rsidRPr="0030474C">
              <w:t>Review outcome</w:t>
            </w:r>
          </w:p>
        </w:tc>
      </w:tr>
      <w:tr w:rsidR="0030474C" w:rsidRPr="0030474C" w14:paraId="5D9ADC8F" w14:textId="77777777" w:rsidTr="00E27EEE">
        <w:trPr>
          <w:trHeight w:val="20"/>
        </w:trPr>
        <w:tc>
          <w:tcPr>
            <w:tcW w:w="233" w:type="pct"/>
            <w:tcBorders>
              <w:top w:val="single" w:sz="4" w:space="0" w:color="1F497D"/>
              <w:bottom w:val="single" w:sz="4" w:space="0" w:color="FFFFFF" w:themeColor="background1"/>
            </w:tcBorders>
            <w:shd w:val="clear" w:color="auto" w:fill="FFFFFF" w:themeFill="background1"/>
            <w:vAlign w:val="center"/>
          </w:tcPr>
          <w:p w14:paraId="3C95A278" w14:textId="2D2EAFDE" w:rsidR="0030474C" w:rsidRPr="0030474C" w:rsidRDefault="0030474C" w:rsidP="0030474C">
            <w:pPr>
              <w:pStyle w:val="TableColumnHeadingLeft"/>
              <w:jc w:val="center"/>
            </w:pPr>
            <w:r w:rsidRPr="0030474C">
              <w:t>1</w:t>
            </w:r>
          </w:p>
        </w:tc>
        <w:tc>
          <w:tcPr>
            <w:tcW w:w="477" w:type="pct"/>
            <w:tcBorders>
              <w:top w:val="single" w:sz="4" w:space="0" w:color="1F497D"/>
              <w:bottom w:val="single" w:sz="4" w:space="0" w:color="FFFFFF" w:themeColor="background1"/>
            </w:tcBorders>
            <w:shd w:val="clear" w:color="auto" w:fill="FFFFFF" w:themeFill="background1"/>
            <w:vAlign w:val="center"/>
          </w:tcPr>
          <w:p w14:paraId="5386BA72" w14:textId="778006C3" w:rsidR="0030474C" w:rsidRPr="0030474C" w:rsidRDefault="0030474C" w:rsidP="00E27EEE">
            <w:pPr>
              <w:pStyle w:val="TableTextLeft-Arial"/>
            </w:pPr>
            <w:r w:rsidRPr="0030474C">
              <w:t>2023/1</w:t>
            </w:r>
            <w:r w:rsidR="00D82641">
              <w:t>4</w:t>
            </w:r>
          </w:p>
        </w:tc>
        <w:tc>
          <w:tcPr>
            <w:tcW w:w="1494" w:type="pct"/>
            <w:tcBorders>
              <w:top w:val="single" w:sz="4" w:space="0" w:color="1F497D"/>
              <w:bottom w:val="single" w:sz="4" w:space="0" w:color="FFFFFF" w:themeColor="background1"/>
            </w:tcBorders>
            <w:shd w:val="clear" w:color="auto" w:fill="FFFFFF" w:themeFill="background1"/>
            <w:vAlign w:val="center"/>
          </w:tcPr>
          <w:p w14:paraId="72AB93FB" w14:textId="5426598F" w:rsidR="0030474C" w:rsidRPr="00E27EEE" w:rsidRDefault="0030474C" w:rsidP="00E27EEE">
            <w:pPr>
              <w:pStyle w:val="TableTextLeft-Arial"/>
            </w:pPr>
            <w:r w:rsidRPr="00E27EEE">
              <w:t>Whitehaven Coal Limited 02R</w:t>
            </w:r>
          </w:p>
        </w:tc>
        <w:tc>
          <w:tcPr>
            <w:tcW w:w="1366" w:type="pct"/>
            <w:tcBorders>
              <w:top w:val="single" w:sz="4" w:space="0" w:color="1F497D"/>
              <w:bottom w:val="single" w:sz="4" w:space="0" w:color="FFFFFF" w:themeColor="background1"/>
            </w:tcBorders>
            <w:shd w:val="clear" w:color="auto" w:fill="FFFFFF" w:themeFill="background1"/>
            <w:vAlign w:val="center"/>
          </w:tcPr>
          <w:p w14:paraId="3B590BF4" w14:textId="208F7F66" w:rsidR="0030474C" w:rsidRPr="00E27EEE" w:rsidRDefault="0030474C" w:rsidP="00E27EEE">
            <w:pPr>
              <w:pStyle w:val="TableTextLeft-Arial"/>
            </w:pPr>
            <w:r w:rsidRPr="00E27EEE">
              <w:t>Whitehaven Coal Limited</w:t>
            </w:r>
          </w:p>
        </w:tc>
        <w:tc>
          <w:tcPr>
            <w:tcW w:w="1430" w:type="pct"/>
            <w:tcBorders>
              <w:top w:val="single" w:sz="4" w:space="0" w:color="1F497D"/>
              <w:bottom w:val="single" w:sz="4" w:space="0" w:color="FFFFFF" w:themeColor="background1"/>
            </w:tcBorders>
            <w:shd w:val="clear" w:color="auto" w:fill="FFFFFF" w:themeFill="background1"/>
            <w:vAlign w:val="center"/>
          </w:tcPr>
          <w:p w14:paraId="622C6E93" w14:textId="6592532D" w:rsidR="0030474C" w:rsidRPr="00E27EEE" w:rsidRDefault="00A969A3" w:rsidP="00E27EEE">
            <w:pPr>
              <w:pStyle w:val="TableTextLeft-Arial"/>
            </w:pPr>
            <w:r w:rsidRPr="00E27EEE">
              <w:t>Withdrawn</w:t>
            </w:r>
          </w:p>
        </w:tc>
      </w:tr>
      <w:tr w:rsidR="0030474C" w:rsidRPr="0030474C" w14:paraId="5259114B" w14:textId="77777777" w:rsidTr="00E27EEE">
        <w:trPr>
          <w:trHeight w:val="20"/>
        </w:trPr>
        <w:tc>
          <w:tcPr>
            <w:tcW w:w="233" w:type="pct"/>
            <w:tcBorders>
              <w:top w:val="single" w:sz="4" w:space="0" w:color="FFFFFF" w:themeColor="background1"/>
            </w:tcBorders>
            <w:shd w:val="clear" w:color="auto" w:fill="F2F2F2" w:themeFill="background1" w:themeFillShade="F2"/>
            <w:vAlign w:val="center"/>
          </w:tcPr>
          <w:p w14:paraId="1A7B08FB" w14:textId="1C3911F9" w:rsidR="0030474C" w:rsidRPr="0030474C" w:rsidRDefault="0030474C" w:rsidP="0030474C">
            <w:pPr>
              <w:pStyle w:val="TableColumnHeadingLeft"/>
              <w:jc w:val="center"/>
            </w:pPr>
            <w:r w:rsidRPr="0030474C">
              <w:t>2</w:t>
            </w:r>
          </w:p>
        </w:tc>
        <w:tc>
          <w:tcPr>
            <w:tcW w:w="477" w:type="pct"/>
            <w:tcBorders>
              <w:top w:val="single" w:sz="4" w:space="0" w:color="FFFFFF" w:themeColor="background1"/>
            </w:tcBorders>
            <w:shd w:val="clear" w:color="auto" w:fill="F2F2F2" w:themeFill="background1" w:themeFillShade="F2"/>
            <w:vAlign w:val="center"/>
          </w:tcPr>
          <w:p w14:paraId="7D145474" w14:textId="0817713A" w:rsidR="0030474C" w:rsidRPr="0030474C" w:rsidRDefault="0030474C" w:rsidP="00E27EEE">
            <w:pPr>
              <w:pStyle w:val="TableTextLeft-Arial"/>
            </w:pPr>
            <w:r w:rsidRPr="0030474C">
              <w:t>2023/15</w:t>
            </w:r>
          </w:p>
        </w:tc>
        <w:tc>
          <w:tcPr>
            <w:tcW w:w="1494" w:type="pct"/>
            <w:tcBorders>
              <w:top w:val="single" w:sz="4" w:space="0" w:color="FFFFFF" w:themeColor="background1"/>
            </w:tcBorders>
            <w:shd w:val="clear" w:color="auto" w:fill="F2F2F2" w:themeFill="background1" w:themeFillShade="F2"/>
            <w:vAlign w:val="center"/>
          </w:tcPr>
          <w:p w14:paraId="5BAC4413" w14:textId="56AB7503" w:rsidR="0030474C" w:rsidRPr="00E27EEE" w:rsidRDefault="0030474C" w:rsidP="00E27EEE">
            <w:pPr>
              <w:pStyle w:val="TableTextLeft-Arial"/>
            </w:pPr>
            <w:r w:rsidRPr="00E27EEE">
              <w:t>Southern Cross Media Group Limited 02R</w:t>
            </w:r>
          </w:p>
        </w:tc>
        <w:tc>
          <w:tcPr>
            <w:tcW w:w="1366" w:type="pct"/>
            <w:tcBorders>
              <w:top w:val="single" w:sz="4" w:space="0" w:color="FFFFFF" w:themeColor="background1"/>
            </w:tcBorders>
            <w:shd w:val="clear" w:color="auto" w:fill="F2F2F2" w:themeFill="background1" w:themeFillShade="F2"/>
            <w:vAlign w:val="center"/>
          </w:tcPr>
          <w:p w14:paraId="7ABC79FF" w14:textId="5556C703" w:rsidR="0030474C" w:rsidRPr="00E27EEE" w:rsidRDefault="0030474C" w:rsidP="00E27EEE">
            <w:pPr>
              <w:pStyle w:val="TableTextLeft-Arial"/>
            </w:pPr>
            <w:r w:rsidRPr="00E27EEE">
              <w:t>Southern Cross Media Group Limited</w:t>
            </w:r>
          </w:p>
        </w:tc>
        <w:tc>
          <w:tcPr>
            <w:tcW w:w="1430" w:type="pct"/>
            <w:tcBorders>
              <w:top w:val="single" w:sz="4" w:space="0" w:color="FFFFFF" w:themeColor="background1"/>
            </w:tcBorders>
            <w:shd w:val="clear" w:color="auto" w:fill="F2F2F2" w:themeFill="background1" w:themeFillShade="F2"/>
            <w:vAlign w:val="center"/>
          </w:tcPr>
          <w:p w14:paraId="5E0DCC07" w14:textId="4631CA67" w:rsidR="0030474C" w:rsidRPr="00E27EEE" w:rsidRDefault="0030474C" w:rsidP="00E27EEE">
            <w:pPr>
              <w:pStyle w:val="TableTextLeft-Arial"/>
            </w:pPr>
            <w:r w:rsidRPr="00E27EEE">
              <w:t>Affirmed Panel decision</w:t>
            </w:r>
          </w:p>
        </w:tc>
      </w:tr>
      <w:tr w:rsidR="0030474C" w:rsidRPr="0030474C" w14:paraId="6296FFB7" w14:textId="77777777" w:rsidTr="00E27EEE">
        <w:trPr>
          <w:trHeight w:val="20"/>
        </w:trPr>
        <w:tc>
          <w:tcPr>
            <w:tcW w:w="233" w:type="pct"/>
            <w:vAlign w:val="center"/>
          </w:tcPr>
          <w:p w14:paraId="3DF9418A" w14:textId="172B81E3" w:rsidR="0030474C" w:rsidRPr="0030474C" w:rsidRDefault="0030474C" w:rsidP="0030474C">
            <w:pPr>
              <w:pStyle w:val="TableColumnHeadingLeft"/>
              <w:jc w:val="center"/>
            </w:pPr>
            <w:r w:rsidRPr="0030474C">
              <w:t>3</w:t>
            </w:r>
          </w:p>
        </w:tc>
        <w:tc>
          <w:tcPr>
            <w:tcW w:w="477" w:type="pct"/>
            <w:vAlign w:val="center"/>
          </w:tcPr>
          <w:p w14:paraId="1E541610" w14:textId="1848C5E0" w:rsidR="0030474C" w:rsidRPr="0030474C" w:rsidRDefault="0030474C" w:rsidP="00E27EEE">
            <w:pPr>
              <w:pStyle w:val="TableTextLeft-Arial"/>
            </w:pPr>
            <w:r w:rsidRPr="0030474C">
              <w:t>2023/16</w:t>
            </w:r>
          </w:p>
        </w:tc>
        <w:tc>
          <w:tcPr>
            <w:tcW w:w="1494" w:type="pct"/>
            <w:vAlign w:val="center"/>
          </w:tcPr>
          <w:p w14:paraId="7F3C1922" w14:textId="56CB43EE" w:rsidR="0030474C" w:rsidRPr="00E27EEE" w:rsidRDefault="0030474C" w:rsidP="00E27EEE">
            <w:pPr>
              <w:pStyle w:val="TableTextLeft-Arial"/>
            </w:pPr>
            <w:r w:rsidRPr="00E27EEE">
              <w:t>Southern Cross Media Group Limited 03R</w:t>
            </w:r>
          </w:p>
        </w:tc>
        <w:tc>
          <w:tcPr>
            <w:tcW w:w="1366" w:type="pct"/>
            <w:vAlign w:val="center"/>
          </w:tcPr>
          <w:p w14:paraId="3F9D241D" w14:textId="49BC25C5" w:rsidR="0030474C" w:rsidRPr="00E27EEE" w:rsidRDefault="0030474C" w:rsidP="00E27EEE">
            <w:pPr>
              <w:pStyle w:val="TableTextLeft-Arial"/>
            </w:pPr>
            <w:r w:rsidRPr="00E27EEE">
              <w:t>Southern Cross Media Group Limited</w:t>
            </w:r>
          </w:p>
        </w:tc>
        <w:tc>
          <w:tcPr>
            <w:tcW w:w="1430" w:type="pct"/>
            <w:vAlign w:val="center"/>
          </w:tcPr>
          <w:p w14:paraId="4F2BE903" w14:textId="49B42993" w:rsidR="0030474C" w:rsidRPr="00E27EEE" w:rsidRDefault="0030474C" w:rsidP="00E27EEE">
            <w:pPr>
              <w:pStyle w:val="TableTextLeft-Arial"/>
            </w:pPr>
            <w:r w:rsidRPr="00E27EEE">
              <w:t>Set aside/varied Panel decision</w:t>
            </w:r>
          </w:p>
        </w:tc>
      </w:tr>
      <w:tr w:rsidR="00192E48" w:rsidRPr="0030474C" w14:paraId="3B9CE5E8" w14:textId="77777777" w:rsidTr="00E27EEE">
        <w:trPr>
          <w:trHeight w:val="20"/>
        </w:trPr>
        <w:tc>
          <w:tcPr>
            <w:tcW w:w="233" w:type="pct"/>
            <w:shd w:val="clear" w:color="auto" w:fill="F2F2F2" w:themeFill="background1" w:themeFillShade="F2"/>
            <w:vAlign w:val="center"/>
          </w:tcPr>
          <w:p w14:paraId="55DCF156" w14:textId="5762DD94" w:rsidR="00872609" w:rsidRPr="0030474C" w:rsidRDefault="0030474C" w:rsidP="004F7091">
            <w:pPr>
              <w:pStyle w:val="TableColumnHeadingLeft"/>
              <w:jc w:val="center"/>
            </w:pPr>
            <w:r w:rsidRPr="0030474C">
              <w:t>4</w:t>
            </w:r>
          </w:p>
        </w:tc>
        <w:tc>
          <w:tcPr>
            <w:tcW w:w="477" w:type="pct"/>
            <w:shd w:val="clear" w:color="auto" w:fill="F2F2F2" w:themeFill="background1" w:themeFillShade="F2"/>
            <w:vAlign w:val="center"/>
          </w:tcPr>
          <w:p w14:paraId="182352A0" w14:textId="19E074E5" w:rsidR="00872609" w:rsidRPr="0030474C" w:rsidRDefault="0030474C" w:rsidP="00E27EEE">
            <w:pPr>
              <w:pStyle w:val="TableTextLeft-Arial"/>
            </w:pPr>
            <w:r w:rsidRPr="0030474C">
              <w:t>2024/01</w:t>
            </w:r>
          </w:p>
        </w:tc>
        <w:tc>
          <w:tcPr>
            <w:tcW w:w="1494" w:type="pct"/>
            <w:shd w:val="clear" w:color="auto" w:fill="F2F2F2" w:themeFill="background1" w:themeFillShade="F2"/>
            <w:vAlign w:val="center"/>
          </w:tcPr>
          <w:p w14:paraId="21415FE6" w14:textId="24CCC29C" w:rsidR="00872609" w:rsidRPr="00E27EEE" w:rsidRDefault="0030474C" w:rsidP="00E27EEE">
            <w:pPr>
              <w:pStyle w:val="TableTextLeft-Arial"/>
            </w:pPr>
            <w:r w:rsidRPr="00E27EEE">
              <w:t>Tempus Resources Limited 02R</w:t>
            </w:r>
          </w:p>
        </w:tc>
        <w:tc>
          <w:tcPr>
            <w:tcW w:w="1366" w:type="pct"/>
            <w:shd w:val="clear" w:color="auto" w:fill="F2F2F2" w:themeFill="background1" w:themeFillShade="F2"/>
            <w:vAlign w:val="center"/>
          </w:tcPr>
          <w:p w14:paraId="6408CD20" w14:textId="489CF966" w:rsidR="00872609" w:rsidRPr="00E27EEE" w:rsidRDefault="0030474C" w:rsidP="00E27EEE">
            <w:pPr>
              <w:pStyle w:val="TableTextLeft-Arial"/>
            </w:pPr>
            <w:r w:rsidRPr="00E27EEE">
              <w:t>Tempus Resources Limited</w:t>
            </w:r>
          </w:p>
        </w:tc>
        <w:tc>
          <w:tcPr>
            <w:tcW w:w="1430" w:type="pct"/>
            <w:shd w:val="clear" w:color="auto" w:fill="F2F2F2" w:themeFill="background1" w:themeFillShade="F2"/>
            <w:vAlign w:val="center"/>
          </w:tcPr>
          <w:p w14:paraId="0D3EC1C9" w14:textId="17CF3FF8" w:rsidR="00872609" w:rsidRPr="00E27EEE" w:rsidRDefault="008014A4" w:rsidP="00E27EEE">
            <w:pPr>
              <w:pStyle w:val="TableTextLeft-Arial"/>
            </w:pPr>
            <w:r w:rsidRPr="00E27EEE">
              <w:t>Affirmed Panel decision</w:t>
            </w:r>
          </w:p>
        </w:tc>
      </w:tr>
      <w:tr w:rsidR="0030474C" w:rsidRPr="0030474C" w14:paraId="173336B8" w14:textId="77777777" w:rsidTr="00E27EEE">
        <w:trPr>
          <w:trHeight w:val="20"/>
        </w:trPr>
        <w:tc>
          <w:tcPr>
            <w:tcW w:w="233" w:type="pct"/>
            <w:shd w:val="clear" w:color="auto" w:fill="FFFFFF" w:themeFill="background1"/>
            <w:vAlign w:val="center"/>
          </w:tcPr>
          <w:p w14:paraId="5D1AFF04" w14:textId="703C44CF" w:rsidR="0030474C" w:rsidRPr="0030474C" w:rsidRDefault="0030474C" w:rsidP="004F7091">
            <w:pPr>
              <w:pStyle w:val="TableColumnHeadingLeft"/>
              <w:jc w:val="center"/>
            </w:pPr>
            <w:r w:rsidRPr="0030474C">
              <w:t>5</w:t>
            </w:r>
          </w:p>
        </w:tc>
        <w:tc>
          <w:tcPr>
            <w:tcW w:w="477" w:type="pct"/>
            <w:shd w:val="clear" w:color="auto" w:fill="FFFFFF" w:themeFill="background1"/>
            <w:vAlign w:val="center"/>
          </w:tcPr>
          <w:p w14:paraId="6FB63217" w14:textId="0A94CE2D" w:rsidR="0030474C" w:rsidRPr="0030474C" w:rsidRDefault="0030474C" w:rsidP="00E27EEE">
            <w:pPr>
              <w:pStyle w:val="TableTextLeft-Arial"/>
            </w:pPr>
            <w:r w:rsidRPr="0030474C">
              <w:t>2024/05</w:t>
            </w:r>
          </w:p>
        </w:tc>
        <w:tc>
          <w:tcPr>
            <w:tcW w:w="1494" w:type="pct"/>
            <w:shd w:val="clear" w:color="auto" w:fill="FFFFFF" w:themeFill="background1"/>
            <w:vAlign w:val="center"/>
          </w:tcPr>
          <w:p w14:paraId="3BAC7CF0" w14:textId="6323B447" w:rsidR="0030474C" w:rsidRPr="00E27EEE" w:rsidRDefault="0030474C" w:rsidP="00E27EEE">
            <w:pPr>
              <w:pStyle w:val="TableTextLeft-Arial"/>
            </w:pPr>
            <w:r w:rsidRPr="00E27EEE">
              <w:t>Vintage Energy Limited 02R</w:t>
            </w:r>
          </w:p>
        </w:tc>
        <w:tc>
          <w:tcPr>
            <w:tcW w:w="1366" w:type="pct"/>
            <w:shd w:val="clear" w:color="auto" w:fill="FFFFFF" w:themeFill="background1"/>
            <w:vAlign w:val="center"/>
          </w:tcPr>
          <w:p w14:paraId="6341E245" w14:textId="19DC3515" w:rsidR="0030474C" w:rsidRPr="00E27EEE" w:rsidRDefault="0030474C" w:rsidP="00E27EEE">
            <w:pPr>
              <w:pStyle w:val="TableTextLeft-Arial"/>
            </w:pPr>
            <w:r w:rsidRPr="00E27EEE">
              <w:t>Vintage Energy Limited</w:t>
            </w:r>
          </w:p>
        </w:tc>
        <w:tc>
          <w:tcPr>
            <w:tcW w:w="1430" w:type="pct"/>
            <w:shd w:val="clear" w:color="auto" w:fill="FFFFFF" w:themeFill="background1"/>
            <w:vAlign w:val="center"/>
          </w:tcPr>
          <w:p w14:paraId="71925E29" w14:textId="53A6B2A0" w:rsidR="0030474C" w:rsidRPr="00E27EEE" w:rsidRDefault="0030474C" w:rsidP="00E27EEE">
            <w:pPr>
              <w:pStyle w:val="TableTextLeft-Arial"/>
            </w:pPr>
            <w:r w:rsidRPr="00E27EEE">
              <w:t>Affirmed Panel decision</w:t>
            </w:r>
          </w:p>
        </w:tc>
      </w:tr>
      <w:tr w:rsidR="0030474C" w:rsidRPr="0030474C" w14:paraId="7D6EA63F" w14:textId="77777777" w:rsidTr="00E27EEE">
        <w:trPr>
          <w:trHeight w:val="20"/>
        </w:trPr>
        <w:tc>
          <w:tcPr>
            <w:tcW w:w="233" w:type="pct"/>
            <w:tcBorders>
              <w:bottom w:val="single" w:sz="4" w:space="0" w:color="0E406A" w:themeColor="accent1"/>
            </w:tcBorders>
            <w:shd w:val="clear" w:color="auto" w:fill="F2F2F2" w:themeFill="background1" w:themeFillShade="F2"/>
            <w:vAlign w:val="center"/>
          </w:tcPr>
          <w:p w14:paraId="1672924E" w14:textId="2F342690" w:rsidR="0030474C" w:rsidRPr="0030474C" w:rsidRDefault="0030474C" w:rsidP="004F7091">
            <w:pPr>
              <w:pStyle w:val="TableColumnHeadingLeft"/>
              <w:jc w:val="center"/>
            </w:pPr>
            <w:r w:rsidRPr="0030474C">
              <w:t>6</w:t>
            </w:r>
          </w:p>
        </w:tc>
        <w:tc>
          <w:tcPr>
            <w:tcW w:w="477" w:type="pct"/>
            <w:tcBorders>
              <w:bottom w:val="single" w:sz="4" w:space="0" w:color="0E406A" w:themeColor="accent1"/>
            </w:tcBorders>
            <w:shd w:val="clear" w:color="auto" w:fill="F2F2F2" w:themeFill="background1" w:themeFillShade="F2"/>
            <w:vAlign w:val="center"/>
          </w:tcPr>
          <w:p w14:paraId="44637BF9" w14:textId="2458098E" w:rsidR="0030474C" w:rsidRPr="0030474C" w:rsidRDefault="0030474C" w:rsidP="00E27EEE">
            <w:pPr>
              <w:pStyle w:val="TableTextLeft-Arial"/>
            </w:pPr>
            <w:r w:rsidRPr="0030474C">
              <w:t>2024/16</w:t>
            </w:r>
          </w:p>
        </w:tc>
        <w:tc>
          <w:tcPr>
            <w:tcW w:w="1494" w:type="pct"/>
            <w:tcBorders>
              <w:bottom w:val="single" w:sz="4" w:space="0" w:color="0E406A" w:themeColor="accent1"/>
            </w:tcBorders>
            <w:shd w:val="clear" w:color="auto" w:fill="F2F2F2" w:themeFill="background1" w:themeFillShade="F2"/>
            <w:vAlign w:val="center"/>
          </w:tcPr>
          <w:p w14:paraId="3797DDCB" w14:textId="6C642630" w:rsidR="0030474C" w:rsidRPr="00E27EEE" w:rsidRDefault="0030474C" w:rsidP="00E27EEE">
            <w:pPr>
              <w:pStyle w:val="TableTextLeft-Arial"/>
            </w:pPr>
            <w:r w:rsidRPr="00E27EEE">
              <w:t>Ringers Western Limited 02R</w:t>
            </w:r>
          </w:p>
        </w:tc>
        <w:tc>
          <w:tcPr>
            <w:tcW w:w="1366" w:type="pct"/>
            <w:tcBorders>
              <w:bottom w:val="single" w:sz="4" w:space="0" w:color="0E406A" w:themeColor="accent1"/>
            </w:tcBorders>
            <w:shd w:val="clear" w:color="auto" w:fill="F2F2F2" w:themeFill="background1" w:themeFillShade="F2"/>
            <w:vAlign w:val="center"/>
          </w:tcPr>
          <w:p w14:paraId="58248285" w14:textId="09B26DA5" w:rsidR="0030474C" w:rsidRPr="00E27EEE" w:rsidRDefault="0030474C" w:rsidP="00E27EEE">
            <w:pPr>
              <w:pStyle w:val="TableTextLeft-Arial"/>
            </w:pPr>
            <w:r w:rsidRPr="00E27EEE">
              <w:t>Ringers Western Limited</w:t>
            </w:r>
          </w:p>
        </w:tc>
        <w:tc>
          <w:tcPr>
            <w:tcW w:w="1430" w:type="pct"/>
            <w:tcBorders>
              <w:bottom w:val="single" w:sz="4" w:space="0" w:color="0E406A" w:themeColor="accent1"/>
            </w:tcBorders>
            <w:shd w:val="clear" w:color="auto" w:fill="F2F2F2" w:themeFill="background1" w:themeFillShade="F2"/>
            <w:vAlign w:val="center"/>
          </w:tcPr>
          <w:p w14:paraId="0BB016FD" w14:textId="2110CEBC" w:rsidR="0030474C" w:rsidRPr="00E27EEE" w:rsidRDefault="0030474C" w:rsidP="00E27EEE">
            <w:pPr>
              <w:pStyle w:val="TableTextLeft-Arial"/>
            </w:pPr>
            <w:r w:rsidRPr="00E27EEE">
              <w:t>Affirmed Panel decision</w:t>
            </w:r>
          </w:p>
        </w:tc>
      </w:tr>
    </w:tbl>
    <w:p w14:paraId="571C6D9B" w14:textId="488873D4" w:rsidR="00D0271A" w:rsidRPr="0030474C" w:rsidRDefault="00D0271A" w:rsidP="009B707F">
      <w:pPr>
        <w:sectPr w:rsidR="00D0271A" w:rsidRPr="0030474C" w:rsidSect="00666211">
          <w:headerReference w:type="even" r:id="rId63"/>
          <w:headerReference w:type="default" r:id="rId64"/>
          <w:footerReference w:type="even" r:id="rId65"/>
          <w:footerReference w:type="default" r:id="rId66"/>
          <w:headerReference w:type="first" r:id="rId67"/>
          <w:footerReference w:type="first" r:id="rId68"/>
          <w:pgSz w:w="16840" w:h="11907" w:orient="landscape" w:code="9"/>
          <w:pgMar w:top="2098" w:right="2466" w:bottom="2098" w:left="2466" w:header="1531" w:footer="1531" w:gutter="0"/>
          <w:pgBorders w:offsetFrom="page">
            <w:bottom w:val="single" w:sz="2" w:space="24" w:color="1F497D" w:themeColor="text2"/>
          </w:pgBorders>
          <w:cols w:space="720"/>
          <w:docGrid w:linePitch="299"/>
        </w:sectPr>
      </w:pPr>
    </w:p>
    <w:p w14:paraId="571C6D9C" w14:textId="788DDAE8" w:rsidR="006555DE" w:rsidRPr="00DB6776" w:rsidRDefault="00CC73CE" w:rsidP="00382254">
      <w:pPr>
        <w:pStyle w:val="Heading1"/>
      </w:pPr>
      <w:bookmarkStart w:id="527" w:name="_Toc143338262"/>
      <w:bookmarkStart w:id="528" w:name="_Toc143340327"/>
      <w:bookmarkStart w:id="529" w:name="_Toc143418702"/>
      <w:bookmarkStart w:id="530" w:name="_Toc143420211"/>
      <w:bookmarkStart w:id="531" w:name="_Toc177204286"/>
      <w:bookmarkStart w:id="532" w:name="_Toc204589532"/>
      <w:bookmarkStart w:id="533" w:name="_Toc204589542"/>
      <w:bookmarkStart w:id="534" w:name="_Toc204590166"/>
      <w:bookmarkStart w:id="535" w:name="_Toc204591250"/>
      <w:bookmarkStart w:id="536" w:name="_Toc204591309"/>
      <w:bookmarkStart w:id="537" w:name="_Toc204591421"/>
      <w:bookmarkStart w:id="538" w:name="_Toc207163438"/>
      <w:bookmarkStart w:id="539" w:name="_Toc174632420"/>
      <w:r w:rsidRPr="00DB6776">
        <w:lastRenderedPageBreak/>
        <w:t>Appendix </w:t>
      </w:r>
      <w:r w:rsidR="00E67461" w:rsidRPr="00DB6776">
        <w:t>4</w:t>
      </w:r>
      <w:r w:rsidR="00CD2FE5" w:rsidRPr="00DB6776">
        <w:t xml:space="preserve"> – </w:t>
      </w:r>
      <w:r w:rsidR="006555DE" w:rsidRPr="00DB6776">
        <w:t>Abbreviations and acronyms</w:t>
      </w:r>
      <w:bookmarkEnd w:id="527"/>
      <w:bookmarkEnd w:id="528"/>
      <w:bookmarkEnd w:id="529"/>
      <w:bookmarkEnd w:id="530"/>
      <w:bookmarkEnd w:id="531"/>
      <w:bookmarkEnd w:id="532"/>
      <w:bookmarkEnd w:id="533"/>
      <w:bookmarkEnd w:id="534"/>
      <w:bookmarkEnd w:id="535"/>
      <w:bookmarkEnd w:id="536"/>
      <w:bookmarkEnd w:id="537"/>
      <w:bookmarkEnd w:id="538"/>
      <w:bookmarkEnd w:id="539"/>
    </w:p>
    <w:tbl>
      <w:tblPr>
        <w:tblW w:w="5000" w:type="pct"/>
        <w:tblLook w:val="01E0" w:firstRow="1" w:lastRow="1" w:firstColumn="1" w:lastColumn="1" w:noHBand="0" w:noVBand="0"/>
      </w:tblPr>
      <w:tblGrid>
        <w:gridCol w:w="1770"/>
        <w:gridCol w:w="5941"/>
      </w:tblGrid>
      <w:tr w:rsidR="008E0AE9" w:rsidRPr="00DB6776" w14:paraId="571C6D9F" w14:textId="77777777" w:rsidTr="00BF3F03">
        <w:trPr>
          <w:trHeight w:val="340"/>
        </w:trPr>
        <w:tc>
          <w:tcPr>
            <w:tcW w:w="1770" w:type="dxa"/>
            <w:tcBorders>
              <w:top w:val="single" w:sz="4" w:space="0" w:color="0E406A" w:themeColor="accent1"/>
            </w:tcBorders>
            <w:shd w:val="clear" w:color="auto" w:fill="F2F2F2" w:themeFill="background1" w:themeFillShade="F2"/>
          </w:tcPr>
          <w:p w14:paraId="571C6D9D" w14:textId="77777777" w:rsidR="008E0AE9" w:rsidRPr="00DB6776" w:rsidRDefault="008E0AE9" w:rsidP="0070696F">
            <w:pPr>
              <w:pStyle w:val="TableTextLeft-Arial"/>
            </w:pPr>
            <w:r w:rsidRPr="00DB6776">
              <w:t>AICD</w:t>
            </w:r>
          </w:p>
        </w:tc>
        <w:tc>
          <w:tcPr>
            <w:tcW w:w="5941" w:type="dxa"/>
            <w:tcBorders>
              <w:top w:val="single" w:sz="4" w:space="0" w:color="0E406A" w:themeColor="accent1"/>
            </w:tcBorders>
            <w:shd w:val="clear" w:color="auto" w:fill="F2F2F2" w:themeFill="background1" w:themeFillShade="F2"/>
          </w:tcPr>
          <w:p w14:paraId="571C6D9E" w14:textId="77777777" w:rsidR="008E0AE9" w:rsidRPr="00DB6776" w:rsidRDefault="008E0AE9" w:rsidP="0070696F">
            <w:pPr>
              <w:pStyle w:val="TableTextLeft-Arial"/>
            </w:pPr>
            <w:r w:rsidRPr="00DB6776">
              <w:t>Australian Institute of Company Directors</w:t>
            </w:r>
          </w:p>
        </w:tc>
      </w:tr>
      <w:tr w:rsidR="006555DE" w:rsidRPr="00DB6776" w14:paraId="571C6DA2" w14:textId="77777777" w:rsidTr="00BF3F03">
        <w:trPr>
          <w:trHeight w:val="340"/>
        </w:trPr>
        <w:tc>
          <w:tcPr>
            <w:tcW w:w="1770" w:type="dxa"/>
            <w:shd w:val="clear" w:color="auto" w:fill="auto"/>
          </w:tcPr>
          <w:p w14:paraId="571C6DA0" w14:textId="77777777" w:rsidR="006555DE" w:rsidRPr="00DB6776" w:rsidRDefault="006555DE" w:rsidP="0070696F">
            <w:pPr>
              <w:pStyle w:val="TableTextLeft-Arial"/>
            </w:pPr>
            <w:r w:rsidRPr="00DB6776">
              <w:t>ANAO</w:t>
            </w:r>
          </w:p>
        </w:tc>
        <w:tc>
          <w:tcPr>
            <w:tcW w:w="5941" w:type="dxa"/>
            <w:shd w:val="clear" w:color="auto" w:fill="auto"/>
          </w:tcPr>
          <w:p w14:paraId="571C6DA1" w14:textId="77777777" w:rsidR="006555DE" w:rsidRPr="00DB6776" w:rsidRDefault="006555DE" w:rsidP="0070696F">
            <w:pPr>
              <w:pStyle w:val="TableTextLeft-Arial"/>
            </w:pPr>
            <w:r w:rsidRPr="00DB6776">
              <w:t>Australian National Audit Office</w:t>
            </w:r>
          </w:p>
        </w:tc>
      </w:tr>
      <w:tr w:rsidR="006555DE" w:rsidRPr="00DB6776" w14:paraId="571C6DA5" w14:textId="77777777" w:rsidTr="00BF3F03">
        <w:trPr>
          <w:trHeight w:val="340"/>
        </w:trPr>
        <w:tc>
          <w:tcPr>
            <w:tcW w:w="1770" w:type="dxa"/>
            <w:shd w:val="clear" w:color="auto" w:fill="F2F2F2" w:themeFill="background1" w:themeFillShade="F2"/>
          </w:tcPr>
          <w:p w14:paraId="571C6DA3" w14:textId="77777777" w:rsidR="006555DE" w:rsidRPr="00DB6776" w:rsidRDefault="006555DE" w:rsidP="0070696F">
            <w:pPr>
              <w:pStyle w:val="TableTextLeft-Arial"/>
            </w:pPr>
            <w:r w:rsidRPr="00DB6776">
              <w:t>APS</w:t>
            </w:r>
          </w:p>
        </w:tc>
        <w:tc>
          <w:tcPr>
            <w:tcW w:w="5941" w:type="dxa"/>
            <w:shd w:val="clear" w:color="auto" w:fill="F2F2F2" w:themeFill="background1" w:themeFillShade="F2"/>
          </w:tcPr>
          <w:p w14:paraId="571C6DA4" w14:textId="77777777" w:rsidR="006555DE" w:rsidRPr="00DB6776" w:rsidRDefault="006555DE" w:rsidP="0070696F">
            <w:pPr>
              <w:pStyle w:val="TableTextLeft-Arial"/>
            </w:pPr>
            <w:r w:rsidRPr="00DB6776">
              <w:t>Australian Public Service</w:t>
            </w:r>
          </w:p>
        </w:tc>
      </w:tr>
      <w:tr w:rsidR="006555DE" w:rsidRPr="00DB6776" w14:paraId="571C6DA8" w14:textId="77777777" w:rsidTr="00BF3F03">
        <w:trPr>
          <w:trHeight w:val="340"/>
        </w:trPr>
        <w:tc>
          <w:tcPr>
            <w:tcW w:w="1770" w:type="dxa"/>
            <w:shd w:val="clear" w:color="auto" w:fill="auto"/>
          </w:tcPr>
          <w:p w14:paraId="571C6DA6" w14:textId="77777777" w:rsidR="006555DE" w:rsidRPr="00DB6776" w:rsidRDefault="006555DE" w:rsidP="0070696F">
            <w:pPr>
              <w:pStyle w:val="TableTextLeft-Arial"/>
            </w:pPr>
            <w:r w:rsidRPr="00DB6776">
              <w:t>ASIC</w:t>
            </w:r>
          </w:p>
        </w:tc>
        <w:tc>
          <w:tcPr>
            <w:tcW w:w="5941" w:type="dxa"/>
            <w:shd w:val="clear" w:color="auto" w:fill="auto"/>
          </w:tcPr>
          <w:p w14:paraId="571C6DA7" w14:textId="77777777" w:rsidR="006555DE" w:rsidRPr="00DB6776" w:rsidRDefault="006555DE" w:rsidP="0070696F">
            <w:pPr>
              <w:pStyle w:val="TableTextLeft-Arial"/>
            </w:pPr>
            <w:r w:rsidRPr="00DB6776">
              <w:t>Australian Securities and Investments Commission</w:t>
            </w:r>
          </w:p>
        </w:tc>
      </w:tr>
      <w:tr w:rsidR="006555DE" w:rsidRPr="00DB6776" w14:paraId="571C6DAB" w14:textId="77777777" w:rsidTr="00BF3F03">
        <w:trPr>
          <w:trHeight w:val="340"/>
        </w:trPr>
        <w:tc>
          <w:tcPr>
            <w:tcW w:w="1770" w:type="dxa"/>
            <w:shd w:val="clear" w:color="auto" w:fill="F2F2F2" w:themeFill="background1" w:themeFillShade="F2"/>
          </w:tcPr>
          <w:p w14:paraId="571C6DA9" w14:textId="77777777" w:rsidR="006555DE" w:rsidRPr="00DB6776" w:rsidRDefault="006555DE" w:rsidP="0070696F">
            <w:pPr>
              <w:pStyle w:val="TableTextLeft-Arial"/>
            </w:pPr>
            <w:r w:rsidRPr="00DB6776">
              <w:t>ASX</w:t>
            </w:r>
          </w:p>
        </w:tc>
        <w:tc>
          <w:tcPr>
            <w:tcW w:w="5941" w:type="dxa"/>
            <w:shd w:val="clear" w:color="auto" w:fill="F2F2F2" w:themeFill="background1" w:themeFillShade="F2"/>
          </w:tcPr>
          <w:p w14:paraId="571C6DAA" w14:textId="7F7ADFB5" w:rsidR="006555DE" w:rsidRPr="00DB6776" w:rsidRDefault="007A6ED4" w:rsidP="0070696F">
            <w:pPr>
              <w:pStyle w:val="TableTextLeft-Arial"/>
            </w:pPr>
            <w:r w:rsidRPr="00DB6776">
              <w:t>ASX Limited</w:t>
            </w:r>
          </w:p>
        </w:tc>
      </w:tr>
      <w:tr w:rsidR="006659A0" w:rsidRPr="00DB6776" w14:paraId="571C6DAE" w14:textId="77777777" w:rsidTr="00BF3F03">
        <w:trPr>
          <w:trHeight w:val="340"/>
        </w:trPr>
        <w:tc>
          <w:tcPr>
            <w:tcW w:w="1770" w:type="dxa"/>
            <w:shd w:val="clear" w:color="auto" w:fill="auto"/>
          </w:tcPr>
          <w:p w14:paraId="571C6DAC" w14:textId="77777777" w:rsidR="006659A0" w:rsidRPr="00DB6776" w:rsidRDefault="006659A0" w:rsidP="0070696F">
            <w:pPr>
              <w:pStyle w:val="TableTextLeft-Arial"/>
            </w:pPr>
            <w:r w:rsidRPr="00DB6776">
              <w:t>EL</w:t>
            </w:r>
          </w:p>
        </w:tc>
        <w:tc>
          <w:tcPr>
            <w:tcW w:w="5941" w:type="dxa"/>
            <w:shd w:val="clear" w:color="auto" w:fill="auto"/>
          </w:tcPr>
          <w:p w14:paraId="571C6DAD" w14:textId="77777777" w:rsidR="006659A0" w:rsidRPr="00DB6776" w:rsidRDefault="006659A0" w:rsidP="0070696F">
            <w:pPr>
              <w:pStyle w:val="TableTextLeft-Arial"/>
            </w:pPr>
            <w:r w:rsidRPr="00DB6776">
              <w:t>Executive Level</w:t>
            </w:r>
          </w:p>
        </w:tc>
      </w:tr>
      <w:tr w:rsidR="006659A0" w:rsidRPr="00DB6776" w14:paraId="571C6DB1" w14:textId="77777777" w:rsidTr="00BF3F03">
        <w:trPr>
          <w:trHeight w:val="340"/>
        </w:trPr>
        <w:tc>
          <w:tcPr>
            <w:tcW w:w="1770" w:type="dxa"/>
            <w:shd w:val="clear" w:color="auto" w:fill="F2F2F2" w:themeFill="background1" w:themeFillShade="F2"/>
          </w:tcPr>
          <w:p w14:paraId="571C6DAF" w14:textId="77777777" w:rsidR="006659A0" w:rsidRPr="00DB6776" w:rsidRDefault="006659A0" w:rsidP="0070696F">
            <w:pPr>
              <w:pStyle w:val="TableTextLeft-Arial"/>
            </w:pPr>
            <w:r w:rsidRPr="00DB6776">
              <w:t>FIRB</w:t>
            </w:r>
          </w:p>
        </w:tc>
        <w:tc>
          <w:tcPr>
            <w:tcW w:w="5941" w:type="dxa"/>
            <w:shd w:val="clear" w:color="auto" w:fill="F2F2F2" w:themeFill="background1" w:themeFillShade="F2"/>
          </w:tcPr>
          <w:p w14:paraId="571C6DB0" w14:textId="77777777" w:rsidR="006659A0" w:rsidRPr="00DB6776" w:rsidRDefault="006659A0" w:rsidP="0070696F">
            <w:pPr>
              <w:pStyle w:val="TableTextLeft-Arial"/>
            </w:pPr>
            <w:r w:rsidRPr="00DB6776">
              <w:t>Foreign Investment Review Board</w:t>
            </w:r>
          </w:p>
        </w:tc>
      </w:tr>
      <w:tr w:rsidR="006659A0" w:rsidRPr="00DB6776" w14:paraId="571C6DB4" w14:textId="77777777" w:rsidTr="00BF3F03">
        <w:trPr>
          <w:trHeight w:val="340"/>
        </w:trPr>
        <w:tc>
          <w:tcPr>
            <w:tcW w:w="1770" w:type="dxa"/>
            <w:shd w:val="clear" w:color="auto" w:fill="auto"/>
          </w:tcPr>
          <w:p w14:paraId="571C6DB2" w14:textId="77777777" w:rsidR="006659A0" w:rsidRPr="00DB6776" w:rsidRDefault="006659A0" w:rsidP="0070696F">
            <w:pPr>
              <w:pStyle w:val="TableTextLeft-Arial"/>
            </w:pPr>
            <w:r w:rsidRPr="00DB6776">
              <w:t>M&amp;A</w:t>
            </w:r>
          </w:p>
        </w:tc>
        <w:tc>
          <w:tcPr>
            <w:tcW w:w="5941" w:type="dxa"/>
            <w:shd w:val="clear" w:color="auto" w:fill="auto"/>
          </w:tcPr>
          <w:p w14:paraId="571C6DB3" w14:textId="77777777" w:rsidR="006659A0" w:rsidRPr="00DB6776" w:rsidRDefault="006659A0" w:rsidP="0070696F">
            <w:pPr>
              <w:pStyle w:val="TableTextLeft-Arial"/>
            </w:pPr>
            <w:r w:rsidRPr="00DB6776">
              <w:t>Mergers and Acquisitions</w:t>
            </w:r>
          </w:p>
        </w:tc>
      </w:tr>
      <w:tr w:rsidR="006659A0" w:rsidRPr="00DB6776" w14:paraId="571C6DB7" w14:textId="77777777" w:rsidTr="00BF3F03">
        <w:trPr>
          <w:trHeight w:val="340"/>
        </w:trPr>
        <w:tc>
          <w:tcPr>
            <w:tcW w:w="1770" w:type="dxa"/>
            <w:shd w:val="clear" w:color="auto" w:fill="F2F2F2" w:themeFill="background1" w:themeFillShade="F2"/>
          </w:tcPr>
          <w:p w14:paraId="571C6DB5" w14:textId="77777777" w:rsidR="006659A0" w:rsidRPr="00DB6776" w:rsidRDefault="006659A0" w:rsidP="0070696F">
            <w:pPr>
              <w:pStyle w:val="TableTextLeft-Arial"/>
            </w:pPr>
            <w:r w:rsidRPr="00DB6776">
              <w:t>MOU</w:t>
            </w:r>
          </w:p>
        </w:tc>
        <w:tc>
          <w:tcPr>
            <w:tcW w:w="5941" w:type="dxa"/>
            <w:shd w:val="clear" w:color="auto" w:fill="F2F2F2" w:themeFill="background1" w:themeFillShade="F2"/>
          </w:tcPr>
          <w:p w14:paraId="571C6DB6" w14:textId="77777777" w:rsidR="006659A0" w:rsidRPr="00DB6776" w:rsidRDefault="006659A0" w:rsidP="0070696F">
            <w:pPr>
              <w:pStyle w:val="TableTextLeft-Arial"/>
            </w:pPr>
            <w:r w:rsidRPr="00DB6776">
              <w:t>Memorandum of Understanding</w:t>
            </w:r>
          </w:p>
        </w:tc>
      </w:tr>
      <w:tr w:rsidR="006659A0" w:rsidRPr="00DB6776" w14:paraId="571C6DBA" w14:textId="77777777" w:rsidTr="00BF3F03">
        <w:trPr>
          <w:trHeight w:val="340"/>
        </w:trPr>
        <w:tc>
          <w:tcPr>
            <w:tcW w:w="1770" w:type="dxa"/>
            <w:shd w:val="clear" w:color="auto" w:fill="auto"/>
          </w:tcPr>
          <w:p w14:paraId="571C6DB8" w14:textId="77777777" w:rsidR="006659A0" w:rsidRPr="00DB6776" w:rsidRDefault="006659A0" w:rsidP="0070696F">
            <w:pPr>
              <w:pStyle w:val="TableTextLeft-Arial"/>
            </w:pPr>
            <w:r w:rsidRPr="00DB6776">
              <w:t>SEB</w:t>
            </w:r>
          </w:p>
        </w:tc>
        <w:tc>
          <w:tcPr>
            <w:tcW w:w="5941" w:type="dxa"/>
            <w:shd w:val="clear" w:color="auto" w:fill="auto"/>
          </w:tcPr>
          <w:p w14:paraId="571C6DB9" w14:textId="77777777" w:rsidR="006659A0" w:rsidRPr="00DB6776" w:rsidRDefault="006659A0" w:rsidP="0070696F">
            <w:pPr>
              <w:pStyle w:val="TableTextLeft-Arial"/>
            </w:pPr>
            <w:r w:rsidRPr="00DB6776">
              <w:t>Senior Executive Band</w:t>
            </w:r>
          </w:p>
        </w:tc>
      </w:tr>
      <w:tr w:rsidR="006659A0" w:rsidRPr="00DB6776" w14:paraId="571C6DBD" w14:textId="77777777" w:rsidTr="00BF3F03">
        <w:trPr>
          <w:trHeight w:val="340"/>
        </w:trPr>
        <w:tc>
          <w:tcPr>
            <w:tcW w:w="1770" w:type="dxa"/>
            <w:shd w:val="clear" w:color="auto" w:fill="F2F2F2" w:themeFill="background1" w:themeFillShade="F2"/>
          </w:tcPr>
          <w:p w14:paraId="571C6DBB" w14:textId="77777777" w:rsidR="006659A0" w:rsidRPr="00DB6776" w:rsidRDefault="006659A0" w:rsidP="0070696F">
            <w:pPr>
              <w:pStyle w:val="TableTextLeft-Arial"/>
            </w:pPr>
            <w:r w:rsidRPr="00DB6776">
              <w:t>SES</w:t>
            </w:r>
          </w:p>
        </w:tc>
        <w:tc>
          <w:tcPr>
            <w:tcW w:w="5941" w:type="dxa"/>
            <w:shd w:val="clear" w:color="auto" w:fill="F2F2F2" w:themeFill="background1" w:themeFillShade="F2"/>
          </w:tcPr>
          <w:p w14:paraId="571C6DBC" w14:textId="77777777" w:rsidR="006659A0" w:rsidRPr="00DB6776" w:rsidRDefault="006659A0" w:rsidP="0070696F">
            <w:pPr>
              <w:pStyle w:val="TableTextLeft-Arial"/>
            </w:pPr>
            <w:r w:rsidRPr="00DB6776">
              <w:t>Senior Executive Service</w:t>
            </w:r>
          </w:p>
        </w:tc>
      </w:tr>
      <w:tr w:rsidR="00217899" w:rsidRPr="000A343F" w14:paraId="6BD12FC4" w14:textId="77777777" w:rsidTr="00BF3F03">
        <w:trPr>
          <w:trHeight w:val="340"/>
        </w:trPr>
        <w:tc>
          <w:tcPr>
            <w:tcW w:w="1770" w:type="dxa"/>
            <w:tcBorders>
              <w:bottom w:val="single" w:sz="4" w:space="0" w:color="0E406A" w:themeColor="accent1"/>
            </w:tcBorders>
            <w:shd w:val="clear" w:color="auto" w:fill="auto"/>
          </w:tcPr>
          <w:p w14:paraId="6BAC7B6C" w14:textId="39A6F946" w:rsidR="00217899" w:rsidRPr="00DB6776" w:rsidRDefault="00217899" w:rsidP="0070696F">
            <w:pPr>
              <w:pStyle w:val="TableTextLeft-Arial"/>
            </w:pPr>
            <w:r w:rsidRPr="00DB6776">
              <w:t>Treasury</w:t>
            </w:r>
          </w:p>
        </w:tc>
        <w:tc>
          <w:tcPr>
            <w:tcW w:w="5941" w:type="dxa"/>
            <w:tcBorders>
              <w:bottom w:val="single" w:sz="4" w:space="0" w:color="0E406A" w:themeColor="accent1"/>
            </w:tcBorders>
            <w:shd w:val="clear" w:color="auto" w:fill="auto"/>
          </w:tcPr>
          <w:p w14:paraId="5307C303" w14:textId="41120C2D" w:rsidR="00217899" w:rsidRPr="00AB1A02" w:rsidRDefault="00217899" w:rsidP="0070696F">
            <w:pPr>
              <w:pStyle w:val="TableTextLeft-Arial"/>
            </w:pPr>
            <w:r w:rsidRPr="00DB6776">
              <w:t>Commonwealth Department of the Treasury</w:t>
            </w:r>
          </w:p>
        </w:tc>
      </w:tr>
    </w:tbl>
    <w:p w14:paraId="571C6DBF" w14:textId="77777777" w:rsidR="006555DE" w:rsidRPr="009448D8" w:rsidRDefault="006555DE" w:rsidP="004E0CD8">
      <w:pPr>
        <w:rPr>
          <w:rFonts w:eastAsia="Batang"/>
          <w:highlight w:val="lightGray"/>
        </w:rPr>
      </w:pPr>
    </w:p>
    <w:p w14:paraId="571C6DC0" w14:textId="77777777" w:rsidR="004E0CD8" w:rsidRPr="009448D8" w:rsidRDefault="004E0CD8" w:rsidP="004E0CD8">
      <w:pPr>
        <w:rPr>
          <w:rFonts w:eastAsia="Batang"/>
          <w:highlight w:val="lightGray"/>
        </w:rPr>
        <w:sectPr w:rsidR="004E0CD8" w:rsidRPr="009448D8" w:rsidSect="00666211">
          <w:headerReference w:type="even" r:id="rId69"/>
          <w:headerReference w:type="default" r:id="rId70"/>
          <w:footerReference w:type="even" r:id="rId71"/>
          <w:footerReference w:type="default" r:id="rId72"/>
          <w:headerReference w:type="first" r:id="rId73"/>
          <w:footerReference w:type="first" r:id="rId74"/>
          <w:pgSz w:w="11907" w:h="16840" w:code="9"/>
          <w:pgMar w:top="2466" w:right="2098" w:bottom="2466" w:left="2098" w:header="1899" w:footer="1899" w:gutter="0"/>
          <w:pgBorders w:offsetFrom="page">
            <w:bottom w:val="single" w:sz="2" w:space="24" w:color="1F497D" w:themeColor="text2"/>
          </w:pgBorders>
          <w:cols w:space="720"/>
          <w:docGrid w:linePitch="299"/>
        </w:sectPr>
      </w:pPr>
    </w:p>
    <w:p w14:paraId="49EC0CBA" w14:textId="1B489BFA" w:rsidR="00764556" w:rsidRPr="006B56D9" w:rsidRDefault="006555DE" w:rsidP="00764556">
      <w:pPr>
        <w:pStyle w:val="Heading1"/>
        <w:rPr>
          <w:b w:val="0"/>
          <w:i/>
          <w:smallCaps w:val="0"/>
          <w:noProof/>
          <w:color w:val="1F497D" w:themeColor="text2"/>
          <w:sz w:val="26"/>
          <w:szCs w:val="26"/>
        </w:rPr>
        <w:sectPr w:rsidR="00764556" w:rsidRPr="006B56D9" w:rsidSect="00764556">
          <w:headerReference w:type="even" r:id="rId75"/>
          <w:headerReference w:type="default" r:id="rId76"/>
          <w:footerReference w:type="even" r:id="rId77"/>
          <w:footerReference w:type="default" r:id="rId78"/>
          <w:headerReference w:type="first" r:id="rId79"/>
          <w:footerReference w:type="first" r:id="rId80"/>
          <w:type w:val="continuous"/>
          <w:pgSz w:w="11906" w:h="16838" w:code="9"/>
          <w:pgMar w:top="2466" w:right="2098" w:bottom="2466" w:left="2098" w:header="1899" w:footer="1899" w:gutter="0"/>
          <w:pgBorders w:offsetFrom="page">
            <w:bottom w:val="single" w:sz="2" w:space="24" w:color="1F497D" w:themeColor="text2"/>
          </w:pgBorders>
          <w:cols w:num="2" w:space="709"/>
          <w:docGrid w:linePitch="360"/>
        </w:sectPr>
      </w:pPr>
      <w:bookmarkStart w:id="540" w:name="_Toc143338263"/>
      <w:bookmarkStart w:id="541" w:name="_Toc143340328"/>
      <w:bookmarkStart w:id="542" w:name="_Toc143418703"/>
      <w:bookmarkStart w:id="543" w:name="_Toc143420212"/>
      <w:bookmarkStart w:id="544" w:name="_Toc177204287"/>
      <w:bookmarkStart w:id="545" w:name="_Toc332277185"/>
      <w:bookmarkStart w:id="546" w:name="_Toc362608091"/>
      <w:bookmarkStart w:id="547" w:name="_Toc174632421"/>
      <w:r w:rsidRPr="006B56D9">
        <w:rPr>
          <w:color w:val="1F497D" w:themeColor="text2"/>
        </w:rPr>
        <w:lastRenderedPageBreak/>
        <w:t>Index</w:t>
      </w:r>
      <w:bookmarkEnd w:id="540"/>
      <w:bookmarkEnd w:id="541"/>
      <w:bookmarkEnd w:id="542"/>
      <w:bookmarkEnd w:id="543"/>
      <w:bookmarkEnd w:id="544"/>
      <w:bookmarkEnd w:id="545"/>
      <w:bookmarkEnd w:id="546"/>
      <w:bookmarkEnd w:id="547"/>
      <w:r w:rsidR="0041212D" w:rsidRPr="006B56D9">
        <w:rPr>
          <w:color w:val="1F497D" w:themeColor="text2"/>
        </w:rPr>
        <w:t xml:space="preserve"> </w:t>
      </w:r>
      <w:r w:rsidR="00764556" w:rsidRPr="006B56D9">
        <w:rPr>
          <w:b w:val="0"/>
          <w:i/>
          <w:smallCaps w:val="0"/>
          <w:noProof/>
          <w:color w:val="1F497D" w:themeColor="text2"/>
          <w:sz w:val="26"/>
          <w:szCs w:val="26"/>
        </w:rPr>
        <w:fldChar w:fldCharType="begin"/>
      </w:r>
      <w:r w:rsidR="00764556" w:rsidRPr="006B56D9">
        <w:rPr>
          <w:b w:val="0"/>
          <w:i/>
          <w:smallCaps w:val="0"/>
          <w:noProof/>
          <w:color w:val="1F497D" w:themeColor="text2"/>
          <w:sz w:val="26"/>
          <w:szCs w:val="26"/>
        </w:rPr>
        <w:instrText xml:space="preserve"> INDEX \e "</w:instrText>
      </w:r>
      <w:r w:rsidR="00764556" w:rsidRPr="006B56D9">
        <w:rPr>
          <w:b w:val="0"/>
          <w:i/>
          <w:smallCaps w:val="0"/>
          <w:noProof/>
          <w:color w:val="1F497D" w:themeColor="text2"/>
          <w:sz w:val="26"/>
          <w:szCs w:val="26"/>
        </w:rPr>
        <w:tab/>
        <w:instrText xml:space="preserve">" \c "2" \z "3081" </w:instrText>
      </w:r>
      <w:r w:rsidR="00764556" w:rsidRPr="006B56D9">
        <w:rPr>
          <w:b w:val="0"/>
          <w:i/>
          <w:smallCaps w:val="0"/>
          <w:noProof/>
          <w:color w:val="1F497D" w:themeColor="text2"/>
          <w:sz w:val="26"/>
          <w:szCs w:val="26"/>
        </w:rPr>
        <w:fldChar w:fldCharType="separate"/>
      </w:r>
    </w:p>
    <w:p w14:paraId="7682B990" w14:textId="2580D3F3" w:rsidR="00764556" w:rsidRPr="006B56D9" w:rsidRDefault="00764556" w:rsidP="00764556">
      <w:pPr>
        <w:pStyle w:val="IndexHeading"/>
      </w:pPr>
      <w:r w:rsidRPr="006B56D9">
        <w:t>A</w:t>
      </w:r>
    </w:p>
    <w:p w14:paraId="7FB10C44" w14:textId="3330E9B6" w:rsidR="00764556" w:rsidRPr="006B56D9" w:rsidRDefault="00764556">
      <w:pPr>
        <w:pStyle w:val="Index1"/>
        <w:tabs>
          <w:tab w:val="right" w:leader="hyphen" w:pos="3485"/>
        </w:tabs>
        <w:rPr>
          <w:noProof/>
        </w:rPr>
      </w:pPr>
      <w:r w:rsidRPr="006B56D9">
        <w:rPr>
          <w:noProof/>
        </w:rPr>
        <w:t>Acting Presidents</w:t>
      </w:r>
      <w:r w:rsidRPr="006B56D9">
        <w:rPr>
          <w:noProof/>
        </w:rPr>
        <w:tab/>
        <w:t>10</w:t>
      </w:r>
    </w:p>
    <w:p w14:paraId="46307E98" w14:textId="56142229" w:rsidR="00764556" w:rsidRPr="006B56D9" w:rsidRDefault="00764556">
      <w:pPr>
        <w:pStyle w:val="Index1"/>
        <w:tabs>
          <w:tab w:val="right" w:leader="hyphen" w:pos="3485"/>
        </w:tabs>
        <w:rPr>
          <w:noProof/>
        </w:rPr>
      </w:pPr>
      <w:r w:rsidRPr="006B56D9">
        <w:rPr>
          <w:noProof/>
        </w:rPr>
        <w:t>Applications</w:t>
      </w:r>
      <w:r w:rsidRPr="006B56D9">
        <w:rPr>
          <w:noProof/>
        </w:rPr>
        <w:tab/>
        <w:t>6, 20, 2</w:t>
      </w:r>
      <w:r w:rsidR="005E2A1F" w:rsidRPr="006B56D9">
        <w:rPr>
          <w:noProof/>
        </w:rPr>
        <w:t>1</w:t>
      </w:r>
      <w:r w:rsidRPr="006B56D9">
        <w:rPr>
          <w:noProof/>
        </w:rPr>
        <w:t>, 3</w:t>
      </w:r>
      <w:r w:rsidR="005E2A1F" w:rsidRPr="006B56D9">
        <w:rPr>
          <w:noProof/>
        </w:rPr>
        <w:t>7</w:t>
      </w:r>
      <w:r w:rsidRPr="006B56D9">
        <w:rPr>
          <w:noProof/>
        </w:rPr>
        <w:t xml:space="preserve">, </w:t>
      </w:r>
      <w:r w:rsidR="005E2A1F" w:rsidRPr="006B56D9">
        <w:rPr>
          <w:noProof/>
        </w:rPr>
        <w:t>38, 39</w:t>
      </w:r>
    </w:p>
    <w:p w14:paraId="4D756AA7" w14:textId="74C286A8" w:rsidR="00764556" w:rsidRPr="006B56D9" w:rsidRDefault="00764556">
      <w:pPr>
        <w:pStyle w:val="Index1"/>
        <w:tabs>
          <w:tab w:val="right" w:leader="hyphen" w:pos="3485"/>
        </w:tabs>
        <w:rPr>
          <w:noProof/>
        </w:rPr>
      </w:pPr>
      <w:r w:rsidRPr="006B56D9">
        <w:rPr>
          <w:noProof/>
        </w:rPr>
        <w:t>Australian Securities and Investments Commission Act 2001 (Cth)</w:t>
      </w:r>
      <w:r w:rsidRPr="006B56D9">
        <w:rPr>
          <w:noProof/>
        </w:rPr>
        <w:tab/>
      </w:r>
      <w:r w:rsidR="005E2A1F" w:rsidRPr="006B56D9">
        <w:rPr>
          <w:noProof/>
        </w:rPr>
        <w:t>1,</w:t>
      </w:r>
      <w:r w:rsidR="00CA61AA">
        <w:rPr>
          <w:noProof/>
        </w:rPr>
        <w:t xml:space="preserve"> 22,</w:t>
      </w:r>
      <w:r w:rsidR="005E2A1F" w:rsidRPr="006B56D9">
        <w:rPr>
          <w:noProof/>
        </w:rPr>
        <w:t xml:space="preserve"> 27</w:t>
      </w:r>
    </w:p>
    <w:p w14:paraId="010D185F" w14:textId="502E95A8" w:rsidR="00764556" w:rsidRPr="006B56D9" w:rsidRDefault="00764556" w:rsidP="00764556">
      <w:pPr>
        <w:pStyle w:val="IndexHeading"/>
      </w:pPr>
      <w:r w:rsidRPr="006B56D9">
        <w:t>C</w:t>
      </w:r>
    </w:p>
    <w:p w14:paraId="2C8975EA" w14:textId="3F5E29F8" w:rsidR="00764556" w:rsidRPr="006B56D9" w:rsidRDefault="00764556">
      <w:pPr>
        <w:pStyle w:val="Index1"/>
        <w:tabs>
          <w:tab w:val="right" w:leader="hyphen" w:pos="3485"/>
        </w:tabs>
        <w:rPr>
          <w:noProof/>
        </w:rPr>
      </w:pPr>
      <w:r w:rsidRPr="006B56D9">
        <w:rPr>
          <w:noProof/>
        </w:rPr>
        <w:t>Consultants</w:t>
      </w:r>
      <w:r w:rsidRPr="006B56D9">
        <w:rPr>
          <w:noProof/>
        </w:rPr>
        <w:tab/>
        <w:t>3</w:t>
      </w:r>
      <w:r w:rsidR="005E2A1F" w:rsidRPr="006B56D9">
        <w:rPr>
          <w:noProof/>
        </w:rPr>
        <w:t>2</w:t>
      </w:r>
    </w:p>
    <w:p w14:paraId="307D6567" w14:textId="0D1A1F69" w:rsidR="00764556" w:rsidRPr="006B56D9" w:rsidRDefault="00764556">
      <w:pPr>
        <w:pStyle w:val="Index1"/>
        <w:tabs>
          <w:tab w:val="right" w:leader="hyphen" w:pos="3485"/>
        </w:tabs>
        <w:rPr>
          <w:noProof/>
        </w:rPr>
      </w:pPr>
      <w:r w:rsidRPr="006B56D9">
        <w:rPr>
          <w:noProof/>
        </w:rPr>
        <w:t>Corporate governance</w:t>
      </w:r>
      <w:r w:rsidRPr="006B56D9">
        <w:rPr>
          <w:noProof/>
        </w:rPr>
        <w:tab/>
        <w:t>2</w:t>
      </w:r>
      <w:r w:rsidR="005E2A1F" w:rsidRPr="006B56D9">
        <w:rPr>
          <w:noProof/>
        </w:rPr>
        <w:t>4</w:t>
      </w:r>
    </w:p>
    <w:p w14:paraId="55A800A0" w14:textId="0321859F" w:rsidR="00764556" w:rsidRPr="006B56D9" w:rsidRDefault="00764556">
      <w:pPr>
        <w:pStyle w:val="Index1"/>
        <w:tabs>
          <w:tab w:val="right" w:leader="hyphen" w:pos="3485"/>
        </w:tabs>
        <w:rPr>
          <w:noProof/>
        </w:rPr>
      </w:pPr>
      <w:r w:rsidRPr="006B56D9">
        <w:rPr>
          <w:noProof/>
        </w:rPr>
        <w:t>Corporations Act 2001 (Cth)</w:t>
      </w:r>
      <w:r w:rsidRPr="006B56D9">
        <w:rPr>
          <w:noProof/>
        </w:rPr>
        <w:tab/>
        <w:t>1, 2</w:t>
      </w:r>
      <w:r w:rsidR="006B56D9" w:rsidRPr="006B56D9">
        <w:rPr>
          <w:noProof/>
        </w:rPr>
        <w:t>2, 23, 25</w:t>
      </w:r>
    </w:p>
    <w:p w14:paraId="5B2B1C74" w14:textId="6E993E67" w:rsidR="00764556" w:rsidRPr="006B56D9" w:rsidRDefault="00764556" w:rsidP="00764556">
      <w:pPr>
        <w:pStyle w:val="IndexHeading"/>
      </w:pPr>
      <w:r w:rsidRPr="006B56D9">
        <w:t>D</w:t>
      </w:r>
    </w:p>
    <w:p w14:paraId="292CDCA8" w14:textId="37232ABB" w:rsidR="00764556" w:rsidRPr="006B56D9" w:rsidRDefault="00764556">
      <w:pPr>
        <w:pStyle w:val="Index1"/>
        <w:tabs>
          <w:tab w:val="right" w:leader="hyphen" w:pos="3485"/>
        </w:tabs>
        <w:rPr>
          <w:noProof/>
        </w:rPr>
      </w:pPr>
      <w:r w:rsidRPr="006B56D9">
        <w:rPr>
          <w:noProof/>
        </w:rPr>
        <w:t>Decision</w:t>
      </w:r>
      <w:r w:rsidRPr="006B56D9">
        <w:rPr>
          <w:noProof/>
        </w:rPr>
        <w:tab/>
        <w:t>6, 21</w:t>
      </w:r>
    </w:p>
    <w:p w14:paraId="3919ED67" w14:textId="329D2276" w:rsidR="00764556" w:rsidRPr="006B56D9" w:rsidRDefault="00764556">
      <w:pPr>
        <w:pStyle w:val="Index1"/>
        <w:tabs>
          <w:tab w:val="right" w:leader="hyphen" w:pos="3485"/>
        </w:tabs>
        <w:rPr>
          <w:noProof/>
        </w:rPr>
      </w:pPr>
      <w:r w:rsidRPr="006B56D9">
        <w:rPr>
          <w:noProof/>
        </w:rPr>
        <w:t>Disability</w:t>
      </w:r>
      <w:r w:rsidRPr="006B56D9">
        <w:rPr>
          <w:noProof/>
        </w:rPr>
        <w:tab/>
      </w:r>
      <w:r w:rsidR="006B56D9" w:rsidRPr="006B56D9">
        <w:rPr>
          <w:noProof/>
        </w:rPr>
        <w:t>31</w:t>
      </w:r>
    </w:p>
    <w:p w14:paraId="32B55020" w14:textId="34A17AE7" w:rsidR="00764556" w:rsidRPr="006B56D9" w:rsidRDefault="00764556">
      <w:pPr>
        <w:pStyle w:val="Index1"/>
        <w:tabs>
          <w:tab w:val="right" w:leader="hyphen" w:pos="3485"/>
        </w:tabs>
        <w:rPr>
          <w:noProof/>
        </w:rPr>
      </w:pPr>
      <w:r w:rsidRPr="006B56D9">
        <w:rPr>
          <w:noProof/>
        </w:rPr>
        <w:t>Discretionary grants</w:t>
      </w:r>
      <w:r w:rsidRPr="006B56D9">
        <w:rPr>
          <w:noProof/>
        </w:rPr>
        <w:tab/>
        <w:t>3</w:t>
      </w:r>
      <w:r w:rsidR="006B56D9" w:rsidRPr="006B56D9">
        <w:rPr>
          <w:noProof/>
        </w:rPr>
        <w:t>2</w:t>
      </w:r>
    </w:p>
    <w:p w14:paraId="14408627" w14:textId="05CC12CC" w:rsidR="00764556" w:rsidRPr="006B56D9" w:rsidRDefault="00764556" w:rsidP="00764556">
      <w:pPr>
        <w:pStyle w:val="IndexHeading"/>
      </w:pPr>
      <w:r w:rsidRPr="006B56D9">
        <w:t>E</w:t>
      </w:r>
    </w:p>
    <w:p w14:paraId="70CFAEF1" w14:textId="010ABEA6" w:rsidR="00764556" w:rsidRPr="006B56D9" w:rsidRDefault="00764556">
      <w:pPr>
        <w:pStyle w:val="Index1"/>
        <w:tabs>
          <w:tab w:val="right" w:leader="hyphen" w:pos="3485"/>
        </w:tabs>
        <w:rPr>
          <w:noProof/>
        </w:rPr>
      </w:pPr>
      <w:r w:rsidRPr="006B56D9">
        <w:rPr>
          <w:noProof/>
        </w:rPr>
        <w:t>Enquiries</w:t>
      </w:r>
      <w:r w:rsidRPr="006B56D9">
        <w:rPr>
          <w:noProof/>
        </w:rPr>
        <w:tab/>
        <w:t>2</w:t>
      </w:r>
    </w:p>
    <w:p w14:paraId="6A775327" w14:textId="48497BE7" w:rsidR="00764556" w:rsidRPr="006B56D9" w:rsidRDefault="00764556">
      <w:pPr>
        <w:pStyle w:val="Index1"/>
        <w:tabs>
          <w:tab w:val="right" w:leader="hyphen" w:pos="3485"/>
        </w:tabs>
        <w:rPr>
          <w:noProof/>
        </w:rPr>
      </w:pPr>
      <w:r w:rsidRPr="006B56D9">
        <w:rPr>
          <w:noProof/>
        </w:rPr>
        <w:t>Environmental performance</w:t>
      </w:r>
      <w:r w:rsidRPr="006B56D9">
        <w:rPr>
          <w:noProof/>
        </w:rPr>
        <w:tab/>
        <w:t>3</w:t>
      </w:r>
      <w:r w:rsidR="006B56D9" w:rsidRPr="006B56D9">
        <w:rPr>
          <w:noProof/>
        </w:rPr>
        <w:t>2</w:t>
      </w:r>
    </w:p>
    <w:p w14:paraId="7EBDE5E4" w14:textId="64D0068A" w:rsidR="00764556" w:rsidRPr="006B56D9" w:rsidRDefault="00764556">
      <w:pPr>
        <w:pStyle w:val="Index1"/>
        <w:tabs>
          <w:tab w:val="right" w:leader="hyphen" w:pos="3485"/>
        </w:tabs>
        <w:rPr>
          <w:noProof/>
        </w:rPr>
      </w:pPr>
      <w:r w:rsidRPr="006B56D9">
        <w:rPr>
          <w:noProof/>
        </w:rPr>
        <w:t>Executive</w:t>
      </w:r>
      <w:r w:rsidRPr="006B56D9">
        <w:rPr>
          <w:noProof/>
        </w:rPr>
        <w:tab/>
        <w:t xml:space="preserve">10, </w:t>
      </w:r>
      <w:r w:rsidR="006B56D9" w:rsidRPr="006B56D9">
        <w:rPr>
          <w:noProof/>
        </w:rPr>
        <w:t xml:space="preserve">11, </w:t>
      </w:r>
      <w:r w:rsidRPr="006B56D9">
        <w:rPr>
          <w:noProof/>
        </w:rPr>
        <w:t>3</w:t>
      </w:r>
      <w:r w:rsidR="00CA61AA">
        <w:rPr>
          <w:noProof/>
        </w:rPr>
        <w:t>0</w:t>
      </w:r>
    </w:p>
    <w:p w14:paraId="56295D27" w14:textId="66B112D6" w:rsidR="00764556" w:rsidRPr="006B56D9" w:rsidRDefault="00764556">
      <w:pPr>
        <w:pStyle w:val="Index1"/>
        <w:tabs>
          <w:tab w:val="right" w:leader="hyphen" w:pos="3485"/>
        </w:tabs>
        <w:rPr>
          <w:noProof/>
        </w:rPr>
      </w:pPr>
      <w:r w:rsidRPr="006B56D9">
        <w:rPr>
          <w:noProof/>
        </w:rPr>
        <w:t>External scrutiny</w:t>
      </w:r>
      <w:r w:rsidRPr="006B56D9">
        <w:rPr>
          <w:noProof/>
        </w:rPr>
        <w:tab/>
      </w:r>
      <w:r w:rsidR="006B56D9" w:rsidRPr="006B56D9">
        <w:rPr>
          <w:noProof/>
        </w:rPr>
        <w:t>29</w:t>
      </w:r>
    </w:p>
    <w:p w14:paraId="7AFBC95A" w14:textId="779703A2" w:rsidR="00764556" w:rsidRPr="006B56D9" w:rsidRDefault="00764556" w:rsidP="00764556">
      <w:pPr>
        <w:pStyle w:val="IndexHeading"/>
      </w:pPr>
      <w:r w:rsidRPr="006B56D9">
        <w:t>F</w:t>
      </w:r>
    </w:p>
    <w:p w14:paraId="0BE78ECB" w14:textId="4D3B8207" w:rsidR="00764556" w:rsidRPr="006B56D9" w:rsidRDefault="00764556">
      <w:pPr>
        <w:pStyle w:val="Index1"/>
        <w:tabs>
          <w:tab w:val="right" w:leader="hyphen" w:pos="3485"/>
        </w:tabs>
        <w:rPr>
          <w:noProof/>
        </w:rPr>
      </w:pPr>
      <w:r w:rsidRPr="006B56D9">
        <w:rPr>
          <w:noProof/>
        </w:rPr>
        <w:t>Financial information</w:t>
      </w:r>
      <w:r w:rsidRPr="006B56D9">
        <w:rPr>
          <w:noProof/>
        </w:rPr>
        <w:tab/>
        <w:t>2</w:t>
      </w:r>
      <w:r w:rsidR="006B56D9" w:rsidRPr="006B56D9">
        <w:rPr>
          <w:noProof/>
        </w:rPr>
        <w:t>6</w:t>
      </w:r>
    </w:p>
    <w:p w14:paraId="4D5DAB42" w14:textId="56D0C6C2" w:rsidR="00764556" w:rsidRPr="006B56D9" w:rsidRDefault="00764556">
      <w:pPr>
        <w:pStyle w:val="Index1"/>
        <w:tabs>
          <w:tab w:val="right" w:leader="hyphen" w:pos="3485"/>
        </w:tabs>
        <w:rPr>
          <w:noProof/>
        </w:rPr>
      </w:pPr>
      <w:r w:rsidRPr="006B56D9">
        <w:rPr>
          <w:noProof/>
        </w:rPr>
        <w:t>Freedom of information</w:t>
      </w:r>
      <w:r w:rsidRPr="006B56D9">
        <w:rPr>
          <w:noProof/>
        </w:rPr>
        <w:tab/>
        <w:t>3</w:t>
      </w:r>
      <w:r w:rsidR="006B56D9" w:rsidRPr="006B56D9">
        <w:rPr>
          <w:noProof/>
        </w:rPr>
        <w:t>3</w:t>
      </w:r>
    </w:p>
    <w:p w14:paraId="61E68F89" w14:textId="6E603F70" w:rsidR="00764556" w:rsidRPr="006B56D9" w:rsidRDefault="00764556" w:rsidP="00764556">
      <w:pPr>
        <w:pStyle w:val="IndexHeading"/>
      </w:pPr>
      <w:r w:rsidRPr="006B56D9">
        <w:t>G</w:t>
      </w:r>
    </w:p>
    <w:p w14:paraId="1D7FCE95" w14:textId="33BAC22F" w:rsidR="00764556" w:rsidRPr="006B56D9" w:rsidRDefault="00764556">
      <w:pPr>
        <w:pStyle w:val="Index1"/>
        <w:tabs>
          <w:tab w:val="right" w:leader="hyphen" w:pos="3485"/>
        </w:tabs>
        <w:rPr>
          <w:noProof/>
        </w:rPr>
      </w:pPr>
      <w:r w:rsidRPr="006B56D9">
        <w:rPr>
          <w:noProof/>
        </w:rPr>
        <w:t>Gender</w:t>
      </w:r>
      <w:r w:rsidRPr="006B56D9">
        <w:rPr>
          <w:noProof/>
        </w:rPr>
        <w:tab/>
        <w:t>14</w:t>
      </w:r>
      <w:r w:rsidR="00CA61AA">
        <w:rPr>
          <w:noProof/>
        </w:rPr>
        <w:t>, 30</w:t>
      </w:r>
    </w:p>
    <w:p w14:paraId="4B24E82B" w14:textId="213AF2E6" w:rsidR="00764556" w:rsidRPr="006B56D9" w:rsidRDefault="00764556">
      <w:pPr>
        <w:pStyle w:val="Index1"/>
        <w:tabs>
          <w:tab w:val="right" w:leader="hyphen" w:pos="3485"/>
        </w:tabs>
        <w:rPr>
          <w:noProof/>
        </w:rPr>
      </w:pPr>
      <w:r w:rsidRPr="006B56D9">
        <w:rPr>
          <w:noProof/>
        </w:rPr>
        <w:t>Guidance</w:t>
      </w:r>
      <w:r w:rsidRPr="006B56D9">
        <w:rPr>
          <w:noProof/>
        </w:rPr>
        <w:tab/>
        <w:t>7, 2</w:t>
      </w:r>
      <w:r w:rsidR="00CA61AA">
        <w:rPr>
          <w:noProof/>
        </w:rPr>
        <w:t>2</w:t>
      </w:r>
    </w:p>
    <w:p w14:paraId="77A7CE45" w14:textId="259DDDD1" w:rsidR="00764556" w:rsidRPr="006B56D9" w:rsidRDefault="00764556" w:rsidP="00764556">
      <w:pPr>
        <w:pStyle w:val="IndexHeading"/>
      </w:pPr>
      <w:r w:rsidRPr="006B56D9">
        <w:t>I</w:t>
      </w:r>
    </w:p>
    <w:p w14:paraId="61EBA2BE" w14:textId="061FA45B" w:rsidR="00764556" w:rsidRPr="006B56D9" w:rsidRDefault="00764556">
      <w:pPr>
        <w:pStyle w:val="Index1"/>
        <w:tabs>
          <w:tab w:val="right" w:leader="hyphen" w:pos="3485"/>
        </w:tabs>
        <w:rPr>
          <w:noProof/>
        </w:rPr>
      </w:pPr>
      <w:r w:rsidRPr="006B56D9">
        <w:rPr>
          <w:noProof/>
        </w:rPr>
        <w:t>Industrial democracy</w:t>
      </w:r>
      <w:r w:rsidRPr="006B56D9">
        <w:rPr>
          <w:noProof/>
        </w:rPr>
        <w:tab/>
        <w:t>3</w:t>
      </w:r>
      <w:r w:rsidR="006B56D9" w:rsidRPr="006B56D9">
        <w:rPr>
          <w:noProof/>
        </w:rPr>
        <w:t>1</w:t>
      </w:r>
    </w:p>
    <w:p w14:paraId="4742B1EE" w14:textId="1C5FC86F" w:rsidR="00764556" w:rsidRPr="006B56D9" w:rsidRDefault="00764556" w:rsidP="00764556">
      <w:pPr>
        <w:pStyle w:val="IndexHeading"/>
      </w:pPr>
      <w:r w:rsidRPr="006B56D9">
        <w:t>J</w:t>
      </w:r>
    </w:p>
    <w:p w14:paraId="27CF4D29" w14:textId="0E4F1C16" w:rsidR="00764556" w:rsidRPr="006B56D9" w:rsidRDefault="00764556">
      <w:pPr>
        <w:pStyle w:val="Index1"/>
        <w:tabs>
          <w:tab w:val="right" w:leader="hyphen" w:pos="3485"/>
        </w:tabs>
        <w:rPr>
          <w:noProof/>
        </w:rPr>
      </w:pPr>
      <w:r w:rsidRPr="006B56D9">
        <w:rPr>
          <w:noProof/>
        </w:rPr>
        <w:t>Judicial review</w:t>
      </w:r>
      <w:r w:rsidRPr="006B56D9">
        <w:rPr>
          <w:noProof/>
        </w:rPr>
        <w:tab/>
        <w:t>2</w:t>
      </w:r>
      <w:r w:rsidR="006B56D9" w:rsidRPr="006B56D9">
        <w:rPr>
          <w:noProof/>
        </w:rPr>
        <w:t>2</w:t>
      </w:r>
    </w:p>
    <w:p w14:paraId="4E3CD853" w14:textId="6DE5DAF9" w:rsidR="00764556" w:rsidRPr="006B56D9" w:rsidRDefault="00764556" w:rsidP="00CD664C">
      <w:pPr>
        <w:pStyle w:val="IndexHeading"/>
      </w:pPr>
      <w:r w:rsidRPr="006B56D9">
        <w:t>L</w:t>
      </w:r>
    </w:p>
    <w:p w14:paraId="56CFD437" w14:textId="40B1E606" w:rsidR="00764556" w:rsidRPr="006B56D9" w:rsidRDefault="00764556">
      <w:pPr>
        <w:pStyle w:val="Index1"/>
        <w:tabs>
          <w:tab w:val="right" w:leader="hyphen" w:pos="3485"/>
        </w:tabs>
        <w:rPr>
          <w:noProof/>
        </w:rPr>
      </w:pPr>
      <w:r w:rsidRPr="006B56D9">
        <w:rPr>
          <w:noProof/>
        </w:rPr>
        <w:t>Legislation</w:t>
      </w:r>
      <w:r w:rsidRPr="006B56D9">
        <w:rPr>
          <w:noProof/>
        </w:rPr>
        <w:tab/>
        <w:t>2</w:t>
      </w:r>
      <w:r w:rsidR="006B56D9" w:rsidRPr="006B56D9">
        <w:rPr>
          <w:noProof/>
        </w:rPr>
        <w:t>2</w:t>
      </w:r>
    </w:p>
    <w:p w14:paraId="692CEC71" w14:textId="0F06779E" w:rsidR="00CD664C" w:rsidRPr="006B56D9" w:rsidRDefault="00764556" w:rsidP="00CD664C">
      <w:pPr>
        <w:pStyle w:val="Index1"/>
        <w:tabs>
          <w:tab w:val="right" w:leader="hyphen" w:pos="3485"/>
        </w:tabs>
      </w:pPr>
      <w:r w:rsidRPr="006B56D9">
        <w:rPr>
          <w:noProof/>
        </w:rPr>
        <w:t>Location</w:t>
      </w:r>
      <w:r w:rsidRPr="006B56D9">
        <w:rPr>
          <w:noProof/>
        </w:rPr>
        <w:tab/>
        <w:t>1</w:t>
      </w:r>
      <w:r w:rsidR="006B56D9" w:rsidRPr="006B56D9">
        <w:rPr>
          <w:noProof/>
        </w:rPr>
        <w:t>3</w:t>
      </w:r>
    </w:p>
    <w:p w14:paraId="378BC34A" w14:textId="4B1FA99E" w:rsidR="00764556" w:rsidRPr="006B56D9" w:rsidRDefault="00CD664C" w:rsidP="00CD664C">
      <w:pPr>
        <w:pStyle w:val="IndexHeading"/>
        <w:spacing w:before="0"/>
      </w:pPr>
      <w:r w:rsidRPr="006B56D9">
        <w:br w:type="column"/>
      </w:r>
      <w:r w:rsidR="00764556" w:rsidRPr="006B56D9">
        <w:t>M</w:t>
      </w:r>
    </w:p>
    <w:p w14:paraId="5BE7CB4F" w14:textId="54E590AA" w:rsidR="00764556" w:rsidRPr="006B56D9" w:rsidRDefault="00764556">
      <w:pPr>
        <w:pStyle w:val="Index1"/>
        <w:tabs>
          <w:tab w:val="right" w:leader="hyphen" w:pos="3485"/>
        </w:tabs>
        <w:rPr>
          <w:noProof/>
        </w:rPr>
      </w:pPr>
      <w:r w:rsidRPr="006B56D9">
        <w:rPr>
          <w:noProof/>
        </w:rPr>
        <w:t>Management and accountability</w:t>
      </w:r>
      <w:r w:rsidRPr="006B56D9">
        <w:rPr>
          <w:noProof/>
        </w:rPr>
        <w:tab/>
      </w:r>
      <w:r w:rsidR="006B56D9" w:rsidRPr="006B56D9">
        <w:rPr>
          <w:noProof/>
        </w:rPr>
        <w:t>29</w:t>
      </w:r>
    </w:p>
    <w:p w14:paraId="666F723C" w14:textId="78CAFBE3" w:rsidR="00764556" w:rsidRPr="006B56D9" w:rsidRDefault="00764556">
      <w:pPr>
        <w:pStyle w:val="Index1"/>
        <w:tabs>
          <w:tab w:val="right" w:leader="hyphen" w:pos="3485"/>
        </w:tabs>
        <w:rPr>
          <w:noProof/>
        </w:rPr>
      </w:pPr>
      <w:r w:rsidRPr="006B56D9">
        <w:rPr>
          <w:noProof/>
        </w:rPr>
        <w:t>Management of human resources</w:t>
      </w:r>
      <w:r w:rsidRPr="006B56D9">
        <w:rPr>
          <w:noProof/>
        </w:rPr>
        <w:tab/>
      </w:r>
      <w:r w:rsidR="006B56D9" w:rsidRPr="006B56D9">
        <w:rPr>
          <w:noProof/>
        </w:rPr>
        <w:t>29</w:t>
      </w:r>
    </w:p>
    <w:p w14:paraId="5C7E4E26" w14:textId="77777777" w:rsidR="00764556" w:rsidRPr="006B56D9" w:rsidRDefault="00764556">
      <w:pPr>
        <w:pStyle w:val="Index1"/>
        <w:tabs>
          <w:tab w:val="right" w:leader="hyphen" w:pos="3485"/>
        </w:tabs>
        <w:rPr>
          <w:noProof/>
        </w:rPr>
      </w:pPr>
      <w:r w:rsidRPr="006B56D9">
        <w:rPr>
          <w:noProof/>
        </w:rPr>
        <w:t>Matters</w:t>
      </w:r>
      <w:r w:rsidRPr="006B56D9">
        <w:rPr>
          <w:noProof/>
        </w:rPr>
        <w:tab/>
        <w:t>6, 19</w:t>
      </w:r>
    </w:p>
    <w:p w14:paraId="1024BA77" w14:textId="63E657DD" w:rsidR="00764556" w:rsidRPr="006B56D9" w:rsidRDefault="00764556" w:rsidP="00764556">
      <w:pPr>
        <w:pStyle w:val="IndexHeading"/>
      </w:pPr>
      <w:r w:rsidRPr="006B56D9">
        <w:t>O</w:t>
      </w:r>
    </w:p>
    <w:p w14:paraId="7488E649" w14:textId="608958E9" w:rsidR="00764556" w:rsidRPr="006B56D9" w:rsidRDefault="00764556">
      <w:pPr>
        <w:pStyle w:val="Index1"/>
        <w:tabs>
          <w:tab w:val="right" w:leader="hyphen" w:pos="3485"/>
        </w:tabs>
        <w:rPr>
          <w:noProof/>
        </w:rPr>
      </w:pPr>
      <w:r w:rsidRPr="006B56D9">
        <w:rPr>
          <w:noProof/>
        </w:rPr>
        <w:t>Organisational structure</w:t>
      </w:r>
      <w:r w:rsidRPr="006B56D9">
        <w:rPr>
          <w:noProof/>
        </w:rPr>
        <w:tab/>
        <w:t>9</w:t>
      </w:r>
    </w:p>
    <w:p w14:paraId="42F78098" w14:textId="493FE5E6" w:rsidR="00764556" w:rsidRPr="006B56D9" w:rsidRDefault="00764556">
      <w:pPr>
        <w:pStyle w:val="Index1"/>
        <w:tabs>
          <w:tab w:val="right" w:leader="hyphen" w:pos="3485"/>
        </w:tabs>
        <w:rPr>
          <w:noProof/>
        </w:rPr>
      </w:pPr>
      <w:r w:rsidRPr="006B56D9">
        <w:rPr>
          <w:noProof/>
        </w:rPr>
        <w:t>Outcome and output information</w:t>
      </w:r>
      <w:r w:rsidRPr="006B56D9">
        <w:rPr>
          <w:noProof/>
        </w:rPr>
        <w:tab/>
      </w:r>
      <w:r w:rsidR="00CA61AA">
        <w:rPr>
          <w:noProof/>
        </w:rPr>
        <w:t xml:space="preserve">24, </w:t>
      </w:r>
      <w:r w:rsidRPr="006B56D9">
        <w:rPr>
          <w:noProof/>
        </w:rPr>
        <w:t>2</w:t>
      </w:r>
      <w:r w:rsidR="006B56D9" w:rsidRPr="006B56D9">
        <w:rPr>
          <w:noProof/>
        </w:rPr>
        <w:t>5</w:t>
      </w:r>
    </w:p>
    <w:p w14:paraId="29904C3F" w14:textId="420D8036" w:rsidR="00764556" w:rsidRPr="006B56D9" w:rsidRDefault="00764556" w:rsidP="00764556">
      <w:pPr>
        <w:pStyle w:val="IndexHeading"/>
      </w:pPr>
      <w:r w:rsidRPr="006B56D9">
        <w:t>P</w:t>
      </w:r>
    </w:p>
    <w:p w14:paraId="2C0D2DA6" w14:textId="2D00A5D8" w:rsidR="00764556" w:rsidRPr="006B56D9" w:rsidRDefault="00764556">
      <w:pPr>
        <w:pStyle w:val="Index1"/>
        <w:tabs>
          <w:tab w:val="right" w:leader="hyphen" w:pos="3485"/>
        </w:tabs>
        <w:rPr>
          <w:noProof/>
        </w:rPr>
      </w:pPr>
      <w:r w:rsidRPr="006B56D9">
        <w:rPr>
          <w:noProof/>
        </w:rPr>
        <w:t>Panel members</w:t>
      </w:r>
      <w:r w:rsidRPr="006B56D9">
        <w:rPr>
          <w:noProof/>
        </w:rPr>
        <w:tab/>
        <w:t xml:space="preserve">12, 15, </w:t>
      </w:r>
      <w:r w:rsidR="006B56D9" w:rsidRPr="006B56D9">
        <w:rPr>
          <w:noProof/>
        </w:rPr>
        <w:t>16, 17, 18, 34</w:t>
      </w:r>
    </w:p>
    <w:p w14:paraId="109CF866" w14:textId="77777777" w:rsidR="00764556" w:rsidRPr="006B56D9" w:rsidRDefault="00764556">
      <w:pPr>
        <w:pStyle w:val="Index1"/>
        <w:tabs>
          <w:tab w:val="right" w:leader="hyphen" w:pos="3485"/>
        </w:tabs>
        <w:rPr>
          <w:noProof/>
        </w:rPr>
      </w:pPr>
      <w:r w:rsidRPr="006B56D9">
        <w:rPr>
          <w:noProof/>
        </w:rPr>
        <w:t>President</w:t>
      </w:r>
      <w:r w:rsidRPr="006B56D9">
        <w:rPr>
          <w:noProof/>
        </w:rPr>
        <w:tab/>
        <w:t>3, 9</w:t>
      </w:r>
    </w:p>
    <w:p w14:paraId="11B43AF6" w14:textId="77777777" w:rsidR="00764556" w:rsidRPr="006B56D9" w:rsidRDefault="00764556">
      <w:pPr>
        <w:pStyle w:val="Index1"/>
        <w:tabs>
          <w:tab w:val="right" w:leader="hyphen" w:pos="3485"/>
        </w:tabs>
        <w:rPr>
          <w:noProof/>
        </w:rPr>
      </w:pPr>
      <w:r w:rsidRPr="006B56D9">
        <w:rPr>
          <w:noProof/>
        </w:rPr>
        <w:t>Profession</w:t>
      </w:r>
      <w:r w:rsidRPr="006B56D9">
        <w:rPr>
          <w:noProof/>
        </w:rPr>
        <w:tab/>
        <w:t>13</w:t>
      </w:r>
    </w:p>
    <w:p w14:paraId="4A46AAEF" w14:textId="0D574C62" w:rsidR="00764556" w:rsidRPr="006B56D9" w:rsidRDefault="00764556">
      <w:pPr>
        <w:pStyle w:val="Index1"/>
        <w:tabs>
          <w:tab w:val="right" w:leader="hyphen" w:pos="3485"/>
        </w:tabs>
        <w:rPr>
          <w:noProof/>
        </w:rPr>
      </w:pPr>
      <w:r w:rsidRPr="006B56D9">
        <w:rPr>
          <w:noProof/>
        </w:rPr>
        <w:t>Purchasing</w:t>
      </w:r>
      <w:r w:rsidRPr="006B56D9">
        <w:rPr>
          <w:noProof/>
        </w:rPr>
        <w:tab/>
        <w:t>3</w:t>
      </w:r>
      <w:r w:rsidR="006B56D9" w:rsidRPr="006B56D9">
        <w:rPr>
          <w:noProof/>
        </w:rPr>
        <w:t>2</w:t>
      </w:r>
    </w:p>
    <w:p w14:paraId="65A1E04A" w14:textId="44DE035A" w:rsidR="00764556" w:rsidRPr="006B56D9" w:rsidRDefault="00764556" w:rsidP="00764556">
      <w:pPr>
        <w:pStyle w:val="IndexHeading"/>
      </w:pPr>
      <w:r w:rsidRPr="006B56D9">
        <w:t>R</w:t>
      </w:r>
    </w:p>
    <w:p w14:paraId="14187C2D" w14:textId="5360CD9A" w:rsidR="00764556" w:rsidRPr="006B56D9" w:rsidRDefault="00764556">
      <w:pPr>
        <w:pStyle w:val="Index1"/>
        <w:tabs>
          <w:tab w:val="right" w:leader="hyphen" w:pos="3485"/>
        </w:tabs>
        <w:rPr>
          <w:noProof/>
        </w:rPr>
      </w:pPr>
      <w:r w:rsidRPr="006B56D9">
        <w:rPr>
          <w:noProof/>
        </w:rPr>
        <w:t>Regulatory Impact Statements</w:t>
      </w:r>
      <w:r w:rsidRPr="006B56D9">
        <w:rPr>
          <w:noProof/>
        </w:rPr>
        <w:tab/>
        <w:t>3</w:t>
      </w:r>
      <w:r w:rsidR="006B56D9" w:rsidRPr="006B56D9">
        <w:rPr>
          <w:noProof/>
        </w:rPr>
        <w:t>3</w:t>
      </w:r>
    </w:p>
    <w:p w14:paraId="0A608CAA" w14:textId="30C24DE7" w:rsidR="00764556" w:rsidRPr="006B56D9" w:rsidRDefault="00764556">
      <w:pPr>
        <w:pStyle w:val="Index1"/>
        <w:tabs>
          <w:tab w:val="right" w:leader="hyphen" w:pos="3485"/>
        </w:tabs>
        <w:rPr>
          <w:noProof/>
        </w:rPr>
      </w:pPr>
      <w:r w:rsidRPr="006B56D9">
        <w:rPr>
          <w:noProof/>
        </w:rPr>
        <w:t>Remuneration</w:t>
      </w:r>
      <w:r w:rsidRPr="006B56D9">
        <w:rPr>
          <w:noProof/>
        </w:rPr>
        <w:tab/>
        <w:t>3</w:t>
      </w:r>
      <w:r w:rsidR="006B56D9" w:rsidRPr="006B56D9">
        <w:rPr>
          <w:noProof/>
        </w:rPr>
        <w:t>0</w:t>
      </w:r>
    </w:p>
    <w:p w14:paraId="3500FFB8" w14:textId="0510B9B4" w:rsidR="00764556" w:rsidRPr="006B56D9" w:rsidRDefault="00764556">
      <w:pPr>
        <w:pStyle w:val="Index1"/>
        <w:tabs>
          <w:tab w:val="right" w:leader="hyphen" w:pos="3485"/>
        </w:tabs>
        <w:rPr>
          <w:noProof/>
        </w:rPr>
      </w:pPr>
      <w:r w:rsidRPr="006B56D9">
        <w:rPr>
          <w:noProof/>
        </w:rPr>
        <w:t>Review of a Panel decision</w:t>
      </w:r>
      <w:r w:rsidRPr="006B56D9">
        <w:rPr>
          <w:noProof/>
        </w:rPr>
        <w:tab/>
        <w:t xml:space="preserve">8, </w:t>
      </w:r>
      <w:r w:rsidR="006B56D9" w:rsidRPr="006B56D9">
        <w:rPr>
          <w:noProof/>
        </w:rPr>
        <w:t>39</w:t>
      </w:r>
    </w:p>
    <w:p w14:paraId="025F04E6" w14:textId="77777777" w:rsidR="00764556" w:rsidRPr="006B56D9" w:rsidRDefault="00764556">
      <w:pPr>
        <w:pStyle w:val="Index1"/>
        <w:tabs>
          <w:tab w:val="right" w:leader="hyphen" w:pos="3485"/>
        </w:tabs>
        <w:rPr>
          <w:noProof/>
        </w:rPr>
      </w:pPr>
      <w:r w:rsidRPr="006B56D9">
        <w:rPr>
          <w:noProof/>
        </w:rPr>
        <w:t>Review of ASIC decisions</w:t>
      </w:r>
      <w:r w:rsidRPr="006B56D9">
        <w:rPr>
          <w:noProof/>
        </w:rPr>
        <w:tab/>
        <w:t>7, 8</w:t>
      </w:r>
    </w:p>
    <w:p w14:paraId="58CD0491" w14:textId="3D861CBA" w:rsidR="00764556" w:rsidRPr="006B56D9" w:rsidRDefault="00764556" w:rsidP="00764556">
      <w:pPr>
        <w:pStyle w:val="IndexHeading"/>
      </w:pPr>
      <w:r w:rsidRPr="006B56D9">
        <w:t>S</w:t>
      </w:r>
    </w:p>
    <w:p w14:paraId="124B90DF" w14:textId="136D3D05" w:rsidR="00764556" w:rsidRPr="006B56D9" w:rsidRDefault="00764556">
      <w:pPr>
        <w:pStyle w:val="Index1"/>
        <w:tabs>
          <w:tab w:val="right" w:leader="hyphen" w:pos="3485"/>
        </w:tabs>
        <w:rPr>
          <w:noProof/>
        </w:rPr>
      </w:pPr>
      <w:r w:rsidRPr="006B56D9">
        <w:rPr>
          <w:noProof/>
        </w:rPr>
        <w:t>Secondments</w:t>
      </w:r>
      <w:r w:rsidRPr="006B56D9">
        <w:rPr>
          <w:noProof/>
        </w:rPr>
        <w:tab/>
        <w:t>3</w:t>
      </w:r>
      <w:r w:rsidR="006B56D9" w:rsidRPr="006B56D9">
        <w:rPr>
          <w:noProof/>
        </w:rPr>
        <w:t>0</w:t>
      </w:r>
    </w:p>
    <w:p w14:paraId="78018005" w14:textId="77FAF419" w:rsidR="00764556" w:rsidRPr="006B56D9" w:rsidRDefault="00764556">
      <w:pPr>
        <w:pStyle w:val="Index1"/>
        <w:tabs>
          <w:tab w:val="right" w:leader="hyphen" w:pos="3485"/>
        </w:tabs>
        <w:rPr>
          <w:noProof/>
        </w:rPr>
      </w:pPr>
      <w:r w:rsidRPr="006B56D9">
        <w:rPr>
          <w:noProof/>
        </w:rPr>
        <w:t>Small business</w:t>
      </w:r>
      <w:r w:rsidRPr="006B56D9">
        <w:rPr>
          <w:noProof/>
        </w:rPr>
        <w:tab/>
        <w:t>3</w:t>
      </w:r>
      <w:r w:rsidR="006B56D9" w:rsidRPr="006B56D9">
        <w:rPr>
          <w:noProof/>
        </w:rPr>
        <w:t>2</w:t>
      </w:r>
    </w:p>
    <w:p w14:paraId="6C993BD2" w14:textId="0D61A4A7" w:rsidR="00764556" w:rsidRPr="006B56D9" w:rsidRDefault="00764556">
      <w:pPr>
        <w:pStyle w:val="Index1"/>
        <w:tabs>
          <w:tab w:val="right" w:leader="hyphen" w:pos="3485"/>
        </w:tabs>
        <w:rPr>
          <w:noProof/>
        </w:rPr>
      </w:pPr>
      <w:r w:rsidRPr="006B56D9">
        <w:rPr>
          <w:noProof/>
        </w:rPr>
        <w:t>Staff development</w:t>
      </w:r>
      <w:r w:rsidRPr="006B56D9">
        <w:rPr>
          <w:noProof/>
        </w:rPr>
        <w:tab/>
        <w:t>3</w:t>
      </w:r>
      <w:r w:rsidR="006B56D9" w:rsidRPr="006B56D9">
        <w:rPr>
          <w:noProof/>
        </w:rPr>
        <w:t>0</w:t>
      </w:r>
    </w:p>
    <w:p w14:paraId="4D98D8CE" w14:textId="40C9DF23" w:rsidR="00764556" w:rsidRPr="006B56D9" w:rsidRDefault="00764556">
      <w:pPr>
        <w:pStyle w:val="Index1"/>
        <w:tabs>
          <w:tab w:val="right" w:leader="hyphen" w:pos="3485"/>
        </w:tabs>
        <w:rPr>
          <w:noProof/>
        </w:rPr>
      </w:pPr>
      <w:r w:rsidRPr="006B56D9">
        <w:rPr>
          <w:noProof/>
        </w:rPr>
        <w:t>Staffing</w:t>
      </w:r>
      <w:r w:rsidRPr="006B56D9">
        <w:rPr>
          <w:noProof/>
        </w:rPr>
        <w:tab/>
      </w:r>
      <w:r w:rsidR="006B56D9" w:rsidRPr="006B56D9">
        <w:rPr>
          <w:noProof/>
        </w:rPr>
        <w:t>29</w:t>
      </w:r>
    </w:p>
    <w:p w14:paraId="7BC237DD" w14:textId="2D38F7E2" w:rsidR="00764556" w:rsidRPr="006B56D9" w:rsidRDefault="00764556">
      <w:pPr>
        <w:pStyle w:val="Index1"/>
        <w:tabs>
          <w:tab w:val="right" w:leader="hyphen" w:pos="3485"/>
        </w:tabs>
        <w:rPr>
          <w:noProof/>
        </w:rPr>
      </w:pPr>
      <w:r w:rsidRPr="006B56D9">
        <w:rPr>
          <w:noProof/>
        </w:rPr>
        <w:t>Sub</w:t>
      </w:r>
      <w:r w:rsidR="008941F8">
        <w:rPr>
          <w:noProof/>
        </w:rPr>
        <w:noBreakHyphen/>
      </w:r>
      <w:r w:rsidRPr="006B56D9">
        <w:rPr>
          <w:noProof/>
        </w:rPr>
        <w:t>committee members</w:t>
      </w:r>
      <w:r w:rsidRPr="006B56D9">
        <w:rPr>
          <w:noProof/>
        </w:rPr>
        <w:tab/>
        <w:t>3</w:t>
      </w:r>
      <w:r w:rsidR="006B56D9" w:rsidRPr="006B56D9">
        <w:rPr>
          <w:noProof/>
        </w:rPr>
        <w:t>6</w:t>
      </w:r>
    </w:p>
    <w:p w14:paraId="49FCFA74" w14:textId="02715DFC" w:rsidR="00764556" w:rsidRPr="006B56D9" w:rsidRDefault="00764556" w:rsidP="00764556">
      <w:pPr>
        <w:pStyle w:val="IndexHeading"/>
      </w:pPr>
      <w:r w:rsidRPr="006B56D9">
        <w:t>T</w:t>
      </w:r>
    </w:p>
    <w:p w14:paraId="64E6221A" w14:textId="42ADC8EC" w:rsidR="00764556" w:rsidRPr="006B56D9" w:rsidRDefault="00764556">
      <w:pPr>
        <w:pStyle w:val="Index1"/>
        <w:tabs>
          <w:tab w:val="right" w:leader="hyphen" w:pos="3485"/>
        </w:tabs>
        <w:rPr>
          <w:noProof/>
        </w:rPr>
      </w:pPr>
      <w:r w:rsidRPr="006B56D9">
        <w:rPr>
          <w:noProof/>
        </w:rPr>
        <w:t>Treasury</w:t>
      </w:r>
      <w:r w:rsidRPr="006B56D9">
        <w:rPr>
          <w:noProof/>
        </w:rPr>
        <w:tab/>
        <w:t>2</w:t>
      </w:r>
      <w:r w:rsidR="006B56D9" w:rsidRPr="006B56D9">
        <w:rPr>
          <w:noProof/>
        </w:rPr>
        <w:t>4, 25, 26</w:t>
      </w:r>
      <w:r w:rsidRPr="006B56D9">
        <w:rPr>
          <w:noProof/>
        </w:rPr>
        <w:t xml:space="preserve">, 27, </w:t>
      </w:r>
      <w:r w:rsidR="006B56D9" w:rsidRPr="006B56D9">
        <w:rPr>
          <w:noProof/>
        </w:rPr>
        <w:t>30</w:t>
      </w:r>
      <w:r w:rsidRPr="006B56D9">
        <w:rPr>
          <w:noProof/>
        </w:rPr>
        <w:t>,</w:t>
      </w:r>
      <w:r w:rsidR="006B56D9" w:rsidRPr="006B56D9">
        <w:rPr>
          <w:noProof/>
        </w:rPr>
        <w:t xml:space="preserve"> 31,</w:t>
      </w:r>
      <w:r w:rsidRPr="006B56D9">
        <w:rPr>
          <w:noProof/>
        </w:rPr>
        <w:t xml:space="preserve"> 3</w:t>
      </w:r>
      <w:r w:rsidR="006B56D9" w:rsidRPr="006B56D9">
        <w:rPr>
          <w:noProof/>
        </w:rPr>
        <w:t>2</w:t>
      </w:r>
    </w:p>
    <w:p w14:paraId="1CE8790A" w14:textId="511B2F92" w:rsidR="00764556" w:rsidRPr="006B56D9" w:rsidRDefault="00764556" w:rsidP="00764556">
      <w:pPr>
        <w:pStyle w:val="IndexHeading"/>
      </w:pPr>
      <w:r w:rsidRPr="006B56D9">
        <w:t>W</w:t>
      </w:r>
    </w:p>
    <w:p w14:paraId="6BB7335B" w14:textId="5D32A019" w:rsidR="00764556" w:rsidRPr="006B56D9" w:rsidRDefault="00764556">
      <w:pPr>
        <w:pStyle w:val="Index1"/>
        <w:tabs>
          <w:tab w:val="right" w:leader="hyphen" w:pos="3485"/>
        </w:tabs>
        <w:rPr>
          <w:noProof/>
        </w:rPr>
      </w:pPr>
      <w:r w:rsidRPr="006B56D9">
        <w:rPr>
          <w:noProof/>
        </w:rPr>
        <w:t>Website</w:t>
      </w:r>
      <w:r w:rsidRPr="006B56D9">
        <w:rPr>
          <w:noProof/>
        </w:rPr>
        <w:tab/>
        <w:t>2</w:t>
      </w:r>
      <w:r w:rsidR="006B56D9" w:rsidRPr="006B56D9">
        <w:rPr>
          <w:noProof/>
        </w:rPr>
        <w:t>, 24</w:t>
      </w:r>
    </w:p>
    <w:p w14:paraId="6E3A2A2F" w14:textId="2CAF09BE" w:rsidR="00764556" w:rsidRPr="006B56D9" w:rsidRDefault="00764556">
      <w:pPr>
        <w:pStyle w:val="Index1"/>
        <w:tabs>
          <w:tab w:val="right" w:leader="hyphen" w:pos="3485"/>
        </w:tabs>
        <w:rPr>
          <w:noProof/>
        </w:rPr>
      </w:pPr>
      <w:r w:rsidRPr="006B56D9">
        <w:rPr>
          <w:noProof/>
        </w:rPr>
        <w:t>Work Health and Safety</w:t>
      </w:r>
      <w:r w:rsidRPr="006B56D9">
        <w:rPr>
          <w:noProof/>
        </w:rPr>
        <w:tab/>
        <w:t>3</w:t>
      </w:r>
      <w:r w:rsidR="006B56D9" w:rsidRPr="006B56D9">
        <w:rPr>
          <w:noProof/>
        </w:rPr>
        <w:t>1</w:t>
      </w:r>
    </w:p>
    <w:p w14:paraId="48713E4A" w14:textId="0FD23F17" w:rsidR="00764556" w:rsidRPr="006B56D9" w:rsidRDefault="00764556">
      <w:pPr>
        <w:pStyle w:val="Index1"/>
        <w:tabs>
          <w:tab w:val="right" w:leader="hyphen" w:pos="3485"/>
        </w:tabs>
        <w:rPr>
          <w:noProof/>
        </w:rPr>
      </w:pPr>
      <w:r w:rsidRPr="006B56D9">
        <w:rPr>
          <w:noProof/>
        </w:rPr>
        <w:t>Workplace diversity</w:t>
      </w:r>
      <w:r w:rsidRPr="006B56D9">
        <w:rPr>
          <w:noProof/>
        </w:rPr>
        <w:tab/>
        <w:t>3</w:t>
      </w:r>
      <w:r w:rsidR="006B56D9" w:rsidRPr="006B56D9">
        <w:rPr>
          <w:noProof/>
        </w:rPr>
        <w:t>1</w:t>
      </w:r>
    </w:p>
    <w:p w14:paraId="571C6DFF" w14:textId="7FD27504" w:rsidR="006555DE" w:rsidRPr="0041212D" w:rsidRDefault="00764556" w:rsidP="00764556">
      <w:pPr>
        <w:pStyle w:val="Index1"/>
        <w:tabs>
          <w:tab w:val="right" w:leader="dot" w:pos="3485"/>
        </w:tabs>
        <w:ind w:left="0" w:firstLine="0"/>
      </w:pPr>
      <w:r w:rsidRPr="006B56D9">
        <w:rPr>
          <w:b/>
          <w:i/>
          <w:smallCaps/>
          <w:noProof/>
          <w:color w:val="1F497D" w:themeColor="text2"/>
          <w:sz w:val="26"/>
          <w:szCs w:val="26"/>
        </w:rPr>
        <w:fldChar w:fldCharType="end"/>
      </w:r>
    </w:p>
    <w:sectPr w:rsidR="006555DE" w:rsidRPr="0041212D" w:rsidSect="00764556">
      <w:type w:val="continuous"/>
      <w:pgSz w:w="11906" w:h="16838" w:code="9"/>
      <w:pgMar w:top="2466" w:right="2098" w:bottom="2466" w:left="2098" w:header="1899" w:footer="1899" w:gutter="0"/>
      <w:pgBorders w:offsetFrom="page">
        <w:bottom w:val="single" w:sz="2" w:space="24" w:color="1F497D" w:themeColor="text2"/>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BBD2" w14:textId="77777777" w:rsidR="008055DA" w:rsidRDefault="008055DA">
      <w:r>
        <w:separator/>
      </w:r>
    </w:p>
    <w:p w14:paraId="40E63A63" w14:textId="77777777" w:rsidR="008055DA" w:rsidRDefault="008055DA"/>
    <w:p w14:paraId="5B5AAC4C" w14:textId="77777777" w:rsidR="008055DA" w:rsidRDefault="008055DA" w:rsidP="00231601"/>
  </w:endnote>
  <w:endnote w:type="continuationSeparator" w:id="0">
    <w:p w14:paraId="0EED1700" w14:textId="77777777" w:rsidR="008055DA" w:rsidRDefault="008055DA">
      <w:r>
        <w:continuationSeparator/>
      </w:r>
    </w:p>
    <w:p w14:paraId="38980A6E" w14:textId="77777777" w:rsidR="008055DA" w:rsidRDefault="008055DA"/>
    <w:p w14:paraId="3BD4F6FA" w14:textId="77777777" w:rsidR="008055DA" w:rsidRDefault="008055DA" w:rsidP="00231601"/>
  </w:endnote>
  <w:endnote w:type="continuationNotice" w:id="1">
    <w:p w14:paraId="30E9E909" w14:textId="77777777" w:rsidR="008055DA" w:rsidRDefault="00805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illSans">
    <w:altName w:val="Gill Sans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29" w14:textId="25923DDE" w:rsidR="003602E0" w:rsidRDefault="003602E0">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1184" w14:textId="4EFD942F" w:rsidR="00AC7BB8" w:rsidRDefault="002F018C" w:rsidP="00BA3E45">
    <w:pPr>
      <w:pStyle w:val="FooterOdd"/>
    </w:pPr>
    <w:r>
      <w:fldChar w:fldCharType="begin"/>
    </w:r>
    <w:r>
      <w:instrText xml:space="preserve"> PAGE   \* MERGEFORMAT </w:instrText>
    </w:r>
    <w:r>
      <w:fldChar w:fldCharType="separate"/>
    </w:r>
    <w:r>
      <w:t>iii</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7" w14:textId="3402F522" w:rsidR="003602E0" w:rsidRPr="002C3D1A" w:rsidRDefault="002C3D1A" w:rsidP="008E679A">
    <w:pPr>
      <w:pStyle w:val="FooterEven"/>
    </w:pPr>
    <w:r w:rsidRPr="00334137">
      <w:fldChar w:fldCharType="begin"/>
    </w:r>
    <w:r w:rsidRPr="00334137">
      <w:instrText xml:space="preserve"> PAGE </w:instrText>
    </w:r>
    <w:r w:rsidRPr="00334137">
      <w:fldChar w:fldCharType="separate"/>
    </w:r>
    <w:r>
      <w:t>vii</w:t>
    </w:r>
    <w:r w:rsidRPr="00334137">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8A26" w14:textId="3ACF0BC2" w:rsidR="008715D6" w:rsidRPr="007B72E6" w:rsidRDefault="008715D6" w:rsidP="007B72E6">
    <w:pPr>
      <w:pStyle w:val="FooterEven"/>
      <w:rPr>
        <w:rStyle w:val="PageNumber"/>
        <w:rFonts w:ascii="Arial Bold" w:hAnsi="Arial Bold"/>
        <w:lang w:val="en-AU"/>
      </w:rPr>
    </w:pPr>
    <w:r w:rsidRPr="00334137">
      <w:rPr>
        <w:rStyle w:val="PageNumber"/>
      </w:rPr>
      <w:fldChar w:fldCharType="begin"/>
    </w:r>
    <w:r w:rsidRPr="00334137">
      <w:rPr>
        <w:rStyle w:val="PageNumber"/>
      </w:rPr>
      <w:instrText xml:space="preserve"> PAGE </w:instrText>
    </w:r>
    <w:r w:rsidRPr="00334137">
      <w:rPr>
        <w:rStyle w:val="PageNumber"/>
      </w:rPr>
      <w:fldChar w:fldCharType="separate"/>
    </w:r>
    <w:r>
      <w:rPr>
        <w:rStyle w:val="PageNumber"/>
        <w:noProof/>
      </w:rPr>
      <w:t>vi</w:t>
    </w:r>
    <w:r w:rsidRPr="00334137">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8491" w14:textId="11CE84F3" w:rsidR="008715D6" w:rsidRPr="00334137" w:rsidRDefault="008715D6" w:rsidP="006C56E2">
    <w:pPr>
      <w:pStyle w:val="FooterOdd"/>
    </w:pPr>
    <w:r w:rsidRPr="00334137">
      <w:fldChar w:fldCharType="begin"/>
    </w:r>
    <w:r w:rsidRPr="00334137">
      <w:instrText xml:space="preserve"> PAGE </w:instrText>
    </w:r>
    <w:r w:rsidRPr="00334137">
      <w:fldChar w:fldCharType="separate"/>
    </w:r>
    <w:r>
      <w:rPr>
        <w:noProof/>
      </w:rPr>
      <w:t>13</w:t>
    </w:r>
    <w:r w:rsidRPr="00334137">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9B59" w14:textId="778A5AE9" w:rsidR="008715D6" w:rsidRPr="007B72E6" w:rsidRDefault="008715D6" w:rsidP="007B72E6">
    <w:pPr>
      <w:pStyle w:val="FooterOdd"/>
    </w:pPr>
    <w:r w:rsidRPr="007B72E6">
      <w:fldChar w:fldCharType="begin"/>
    </w:r>
    <w:r w:rsidRPr="007B72E6">
      <w:instrText xml:space="preserve"> PAGE </w:instrText>
    </w:r>
    <w:r w:rsidRPr="007B72E6">
      <w:fldChar w:fldCharType="separate"/>
    </w:r>
    <w:r w:rsidRPr="007B72E6">
      <w:t>vii</w:t>
    </w:r>
    <w:r w:rsidRPr="007B72E6">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9" w14:textId="1ED54A26" w:rsidR="003602E0" w:rsidRPr="00081E86" w:rsidRDefault="003602E0">
    <w:pPr>
      <w:pStyle w:val="FooterEven"/>
      <w:rPr>
        <w:rStyle w:val="PageNumber"/>
      </w:rPr>
    </w:pPr>
    <w:r w:rsidRPr="00081E86">
      <w:rPr>
        <w:rStyle w:val="PageNumber"/>
      </w:rPr>
      <w:fldChar w:fldCharType="begin"/>
    </w:r>
    <w:r w:rsidRPr="00081E86">
      <w:rPr>
        <w:rStyle w:val="PageNumber"/>
      </w:rPr>
      <w:instrText xml:space="preserve"> PAGE </w:instrText>
    </w:r>
    <w:r w:rsidRPr="00081E86">
      <w:rPr>
        <w:rStyle w:val="PageNumber"/>
      </w:rPr>
      <w:fldChar w:fldCharType="separate"/>
    </w:r>
    <w:r>
      <w:rPr>
        <w:rStyle w:val="PageNumber"/>
        <w:noProof/>
      </w:rPr>
      <w:t>34</w:t>
    </w:r>
    <w:r w:rsidRPr="00081E86">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A" w14:textId="1C1CFAFC" w:rsidR="003602E0" w:rsidRPr="00BA3E45" w:rsidRDefault="003602E0" w:rsidP="00BA3E45">
    <w:pPr>
      <w:pStyle w:val="FooterOdd"/>
    </w:pPr>
    <w:r w:rsidRPr="00BA3E45">
      <w:rPr>
        <w:rStyle w:val="PageNumber"/>
        <w:rFonts w:ascii="Arial Bold" w:hAnsi="Arial Bold"/>
        <w:lang w:val="en-AU"/>
      </w:rPr>
      <w:fldChar w:fldCharType="begin"/>
    </w:r>
    <w:r w:rsidRPr="00BA3E45">
      <w:rPr>
        <w:rStyle w:val="PageNumber"/>
        <w:rFonts w:ascii="Arial Bold" w:hAnsi="Arial Bold"/>
        <w:lang w:val="en-AU"/>
      </w:rPr>
      <w:instrText xml:space="preserve"> PAGE </w:instrText>
    </w:r>
    <w:r w:rsidRPr="00BA3E45">
      <w:rPr>
        <w:rStyle w:val="PageNumber"/>
        <w:rFonts w:ascii="Arial Bold" w:hAnsi="Arial Bold"/>
        <w:lang w:val="en-AU"/>
      </w:rPr>
      <w:fldChar w:fldCharType="separate"/>
    </w:r>
    <w:r w:rsidRPr="00BA3E45">
      <w:rPr>
        <w:rStyle w:val="PageNumber"/>
        <w:rFonts w:ascii="Arial Bold" w:hAnsi="Arial Bold"/>
        <w:lang w:val="en-AU"/>
      </w:rPr>
      <w:t>35</w:t>
    </w:r>
    <w:r w:rsidRPr="00BA3E45">
      <w:rPr>
        <w:rStyle w:val="PageNumber"/>
        <w:rFonts w:ascii="Arial Bold" w:hAnsi="Arial Bold"/>
        <w:lang w:val="en-AU"/>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E" w14:textId="46007F35" w:rsidR="003602E0" w:rsidRPr="008715D6" w:rsidRDefault="001B7BCD" w:rsidP="001B7BCD">
    <w:pPr>
      <w:pStyle w:val="FooterEven"/>
      <w:rPr>
        <w:rFonts w:eastAsia="Batang"/>
      </w:rPr>
    </w:pPr>
    <w:r w:rsidRPr="00081E86">
      <w:rPr>
        <w:rStyle w:val="PageNumber"/>
      </w:rPr>
      <w:fldChar w:fldCharType="begin"/>
    </w:r>
    <w:r w:rsidRPr="00081E86">
      <w:rPr>
        <w:rStyle w:val="PageNumber"/>
      </w:rPr>
      <w:instrText xml:space="preserve"> PAGE </w:instrText>
    </w:r>
    <w:r w:rsidRPr="00081E86">
      <w:rPr>
        <w:rStyle w:val="PageNumber"/>
      </w:rPr>
      <w:fldChar w:fldCharType="separate"/>
    </w:r>
    <w:r>
      <w:rPr>
        <w:rStyle w:val="PageNumber"/>
      </w:rPr>
      <w:t>34</w:t>
    </w:r>
    <w:r w:rsidRPr="00081E86">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F" w14:textId="5B96DF47" w:rsidR="003602E0" w:rsidRDefault="003602E0" w:rsidP="006C56E2">
    <w:pPr>
      <w:pStyle w:val="FooterOdd"/>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1" w14:textId="5EF79834" w:rsidR="003602E0" w:rsidRPr="00354605" w:rsidRDefault="003602E0" w:rsidP="00D24DEE">
    <w:pPr>
      <w:pStyle w:val="FooterEven"/>
    </w:pPr>
    <w:r w:rsidRPr="00354605">
      <w:fldChar w:fldCharType="begin"/>
    </w:r>
    <w:r w:rsidRPr="00354605">
      <w:instrText xml:space="preserve"> PAGE </w:instrText>
    </w:r>
    <w:r w:rsidRPr="00354605">
      <w:fldChar w:fldCharType="separate"/>
    </w:r>
    <w:r>
      <w:rPr>
        <w:noProof/>
      </w:rPr>
      <w:t>39</w:t>
    </w:r>
    <w:r w:rsidRPr="003546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59AE" w14:textId="7E0DD7B3" w:rsidR="002F018C" w:rsidRPr="002C3D1A" w:rsidRDefault="002F018C" w:rsidP="002F018C">
    <w:pPr>
      <w:pStyle w:val="FooterOdd"/>
    </w:pPr>
  </w:p>
  <w:p w14:paraId="205C3EAF" w14:textId="77777777" w:rsidR="002F018C" w:rsidRDefault="002F018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5" w14:textId="41290D7F" w:rsidR="003602E0" w:rsidRPr="007B61FF" w:rsidRDefault="003602E0" w:rsidP="007B61FF">
    <w:pPr>
      <w:pStyle w:val="Footer"/>
      <w:framePr w:h="241" w:hRule="exact" w:wrap="around" w:hAnchor="page" w:x="1889" w:yAlign="top" w:anchorLock="1"/>
      <w:jc w:val="right"/>
      <w:textDirection w:val="tbRl"/>
      <w:rPr>
        <w:rStyle w:val="PageNumber"/>
        <w:noProof/>
      </w:rPr>
    </w:pPr>
    <w:r w:rsidRPr="007B61FF">
      <w:rPr>
        <w:rStyle w:val="PageNumber"/>
        <w:noProof/>
      </w:rPr>
      <w:fldChar w:fldCharType="begin"/>
    </w:r>
    <w:r w:rsidRPr="007B61FF">
      <w:rPr>
        <w:rStyle w:val="PageNumber"/>
        <w:noProof/>
      </w:rPr>
      <w:instrText xml:space="preserve"> PAGE  \* MERGEFORMAT </w:instrText>
    </w:r>
    <w:r w:rsidRPr="007B61FF">
      <w:rPr>
        <w:rStyle w:val="PageNumber"/>
        <w:noProof/>
      </w:rPr>
      <w:fldChar w:fldCharType="separate"/>
    </w:r>
    <w:r>
      <w:rPr>
        <w:rStyle w:val="PageNumber"/>
        <w:noProof/>
      </w:rPr>
      <w:t>42</w:t>
    </w:r>
    <w:r w:rsidRPr="007B61FF">
      <w:rPr>
        <w:rStyle w:val="PageNumber"/>
        <w:noProof/>
      </w:rPr>
      <w:fldChar w:fldCharType="end"/>
    </w:r>
  </w:p>
  <w:p w14:paraId="571C6E46" w14:textId="77777777" w:rsidR="003602E0" w:rsidRDefault="003602E0">
    <w:pPr>
      <w:pStyle w:val="Footer"/>
      <w:rPr>
        <w:rStyle w:val="PageNumber"/>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7" w14:textId="14093AFF" w:rsidR="003602E0" w:rsidRPr="0017648F" w:rsidRDefault="003602E0" w:rsidP="00AB7DE0">
    <w:pPr>
      <w:pStyle w:val="Footer"/>
      <w:framePr w:h="35" w:hRule="exact" w:wrap="around" w:vAnchor="page" w:hAnchor="page" w:x="1883" w:y="9595" w:anchorLock="1"/>
      <w:textDirection w:val="tbRl"/>
      <w:rPr>
        <w:rStyle w:val="FramedFooter"/>
        <w:sz w:val="16"/>
      </w:rPr>
    </w:pPr>
    <w:r w:rsidRPr="0017648F">
      <w:rPr>
        <w:rStyle w:val="FramedFooter"/>
        <w:sz w:val="16"/>
      </w:rPr>
      <w:fldChar w:fldCharType="begin"/>
    </w:r>
    <w:r w:rsidRPr="0017648F">
      <w:rPr>
        <w:rStyle w:val="FramedFooter"/>
        <w:sz w:val="16"/>
      </w:rPr>
      <w:instrText xml:space="preserve">PAGE  </w:instrText>
    </w:r>
    <w:r w:rsidRPr="0017648F">
      <w:rPr>
        <w:rStyle w:val="FramedFooter"/>
        <w:sz w:val="16"/>
      </w:rPr>
      <w:fldChar w:fldCharType="separate"/>
    </w:r>
    <w:r>
      <w:rPr>
        <w:rStyle w:val="FramedFooter"/>
        <w:noProof/>
        <w:sz w:val="16"/>
      </w:rPr>
      <w:t>43</w:t>
    </w:r>
    <w:r w:rsidRPr="0017648F">
      <w:rPr>
        <w:rStyle w:val="FramedFooter"/>
        <w:sz w:val="16"/>
      </w:rPr>
      <w:fldChar w:fldCharType="end"/>
    </w:r>
  </w:p>
  <w:p w14:paraId="571C6E48" w14:textId="77777777" w:rsidR="003602E0" w:rsidRDefault="003602E0">
    <w:pPr>
      <w:pStyle w:val="Footer"/>
      <w:jc w:val="righ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C" w14:textId="33D8823D" w:rsidR="003602E0" w:rsidRPr="00B46724" w:rsidRDefault="003602E0" w:rsidP="006C56E2">
    <w:pPr>
      <w:pStyle w:val="FooterOdd"/>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E" w14:textId="00B17B6C" w:rsidR="003602E0" w:rsidRPr="00D24DEE" w:rsidRDefault="003602E0" w:rsidP="00D24DEE">
    <w:pPr>
      <w:pStyle w:val="FooterEven"/>
      <w:rPr>
        <w:rStyle w:val="PageNumber"/>
        <w:rFonts w:ascii="Arial Bold" w:hAnsi="Arial Bold"/>
        <w:lang w:val="en-AU"/>
      </w:rPr>
    </w:pPr>
    <w:r w:rsidRPr="00D24DEE">
      <w:rPr>
        <w:rStyle w:val="PageNumber"/>
        <w:rFonts w:ascii="Arial Bold" w:hAnsi="Arial Bold"/>
        <w:lang w:val="en-AU"/>
      </w:rPr>
      <w:fldChar w:fldCharType="begin"/>
    </w:r>
    <w:r w:rsidRPr="00D24DEE">
      <w:rPr>
        <w:rStyle w:val="PageNumber"/>
        <w:rFonts w:ascii="Arial Bold" w:hAnsi="Arial Bold"/>
        <w:lang w:val="en-AU"/>
      </w:rPr>
      <w:instrText xml:space="preserve"> PAGE </w:instrText>
    </w:r>
    <w:r w:rsidRPr="00D24DEE">
      <w:rPr>
        <w:rStyle w:val="PageNumber"/>
        <w:rFonts w:ascii="Arial Bold" w:hAnsi="Arial Bold"/>
        <w:lang w:val="en-AU"/>
      </w:rPr>
      <w:fldChar w:fldCharType="separate"/>
    </w:r>
    <w:r w:rsidRPr="00D24DEE">
      <w:rPr>
        <w:rStyle w:val="PageNumber"/>
        <w:rFonts w:ascii="Arial Bold" w:hAnsi="Arial Bold"/>
        <w:lang w:val="en-AU"/>
      </w:rPr>
      <w:t>46</w:t>
    </w:r>
    <w:r w:rsidRPr="00D24DEE">
      <w:rPr>
        <w:rStyle w:val="PageNumber"/>
        <w:rFonts w:ascii="Arial Bold" w:hAnsi="Arial Bold"/>
        <w:lang w:val="en-AU"/>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F" w14:textId="00A623A1" w:rsidR="003602E0" w:rsidRPr="00081E86" w:rsidRDefault="003602E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52" w14:textId="0D6BEE6A" w:rsidR="003602E0" w:rsidRPr="006C56E2" w:rsidRDefault="006815DC" w:rsidP="0071642B">
    <w:pPr>
      <w:pStyle w:val="FooterEven"/>
      <w:jc w:val="right"/>
      <w:rPr>
        <w:rFonts w:eastAsia="Batang"/>
      </w:rPr>
    </w:pPr>
    <w:r>
      <w:rPr>
        <w:rStyle w:val="PageNumber"/>
        <w:rFonts w:ascii="Arial Bold" w:hAnsi="Arial Bold"/>
        <w:lang w:val="en-AU"/>
      </w:rPr>
      <w:fldChar w:fldCharType="begin"/>
    </w:r>
    <w:r>
      <w:rPr>
        <w:rStyle w:val="PageNumber"/>
        <w:rFonts w:ascii="Arial Bold" w:hAnsi="Arial Bold"/>
        <w:lang w:val="en-AU"/>
      </w:rPr>
      <w:instrText xml:space="preserve"> PAGE  </w:instrText>
    </w:r>
    <w:r>
      <w:rPr>
        <w:rStyle w:val="PageNumber"/>
        <w:rFonts w:ascii="Arial Bold" w:hAnsi="Arial Bold"/>
        <w:lang w:val="en-AU"/>
      </w:rPr>
      <w:fldChar w:fldCharType="separate"/>
    </w:r>
    <w:r>
      <w:rPr>
        <w:rStyle w:val="PageNumber"/>
        <w:rFonts w:ascii="Arial Bold" w:hAnsi="Arial Bold"/>
        <w:noProof/>
        <w:lang w:val="en-AU"/>
      </w:rPr>
      <w:t>42</w:t>
    </w:r>
    <w:r>
      <w:rPr>
        <w:rStyle w:val="PageNumber"/>
        <w:rFonts w:ascii="Arial Bold" w:hAnsi="Arial Bold"/>
        <w:lang w:val="en-AU"/>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BCC7" w14:textId="2F5C9279" w:rsidR="00AC7BB8" w:rsidRDefault="00AC7BB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89B0" w14:textId="018390F4" w:rsidR="006815DC" w:rsidRPr="00081E86" w:rsidRDefault="006815D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B218" w14:textId="028D4B04" w:rsidR="008C2CB4" w:rsidRPr="006C56E2" w:rsidRDefault="008C2CB4" w:rsidP="008C2CB4">
    <w:pPr>
      <w:pStyle w:val="FooterEven"/>
      <w:rPr>
        <w:rFonts w:eastAsia="Batang"/>
      </w:rPr>
    </w:pPr>
    <w:r>
      <w:rPr>
        <w:rStyle w:val="PageNumber"/>
        <w:rFonts w:ascii="Arial Bold" w:hAnsi="Arial Bold"/>
        <w:lang w:val="en-AU"/>
      </w:rPr>
      <w:fldChar w:fldCharType="begin"/>
    </w:r>
    <w:r>
      <w:rPr>
        <w:rStyle w:val="PageNumber"/>
        <w:rFonts w:ascii="Arial Bold" w:hAnsi="Arial Bold"/>
        <w:lang w:val="en-AU"/>
      </w:rPr>
      <w:instrText xml:space="preserve"> PAGE  </w:instrText>
    </w:r>
    <w:r>
      <w:rPr>
        <w:rStyle w:val="PageNumber"/>
        <w:rFonts w:ascii="Arial Bold" w:hAnsi="Arial Bold"/>
        <w:lang w:val="en-AU"/>
      </w:rPr>
      <w:fldChar w:fldCharType="separate"/>
    </w:r>
    <w:r>
      <w:rPr>
        <w:rStyle w:val="PageNumber"/>
        <w:rFonts w:ascii="Arial Bold" w:hAnsi="Arial Bold"/>
        <w:noProof/>
        <w:lang w:val="en-AU"/>
      </w:rPr>
      <w:t>42</w:t>
    </w:r>
    <w:r>
      <w:rPr>
        <w:rStyle w:val="PageNumber"/>
        <w:rFonts w:ascii="Arial Bold" w:hAnsi="Arial Bold"/>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2A" w14:textId="301FB1E2" w:rsidR="003602E0" w:rsidRPr="00D45D2F" w:rsidRDefault="003602E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xlvi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2B" w14:textId="0F50F6FB" w:rsidR="003602E0" w:rsidRDefault="003602E0" w:rsidP="006C56E2">
    <w:pPr>
      <w:pStyle w:val="FooterOdd"/>
    </w:pPr>
    <w:r>
      <w:fldChar w:fldCharType="begin"/>
    </w:r>
    <w:r>
      <w:instrText xml:space="preserve"> PAGE </w:instrText>
    </w:r>
    <w:r>
      <w:fldChar w:fldCharType="separate"/>
    </w:r>
    <w:r>
      <w:rPr>
        <w:noProof/>
      </w:rPr>
      <w:t>xlvi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024D" w14:textId="7418EADB" w:rsidR="002F018C" w:rsidRPr="002C3D1A" w:rsidRDefault="002F018C" w:rsidP="002F018C">
    <w:pPr>
      <w:pStyle w:val="FooterOdd"/>
    </w:pPr>
  </w:p>
  <w:p w14:paraId="571C6E2D" w14:textId="68012763" w:rsidR="003602E0" w:rsidRPr="00334137" w:rsidRDefault="003602E0" w:rsidP="00F020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2" w14:textId="374187BD" w:rsidR="003602E0" w:rsidRPr="00334137" w:rsidRDefault="003602E0" w:rsidP="0084108D">
    <w:pPr>
      <w:pStyle w:val="FooterEven"/>
      <w:rPr>
        <w:rStyle w:val="PageNumber"/>
      </w:rPr>
    </w:pPr>
    <w:r w:rsidRPr="00334137">
      <w:rPr>
        <w:rStyle w:val="PageNumber"/>
      </w:rPr>
      <w:fldChar w:fldCharType="begin"/>
    </w:r>
    <w:r w:rsidRPr="00334137">
      <w:rPr>
        <w:rStyle w:val="PageNumber"/>
      </w:rPr>
      <w:instrText xml:space="preserve"> PAGE </w:instrText>
    </w:r>
    <w:r w:rsidRPr="00334137">
      <w:rPr>
        <w:rStyle w:val="PageNumber"/>
      </w:rPr>
      <w:fldChar w:fldCharType="separate"/>
    </w:r>
    <w:r>
      <w:rPr>
        <w:rStyle w:val="PageNumber"/>
        <w:noProof/>
      </w:rPr>
      <w:t>vi</w:t>
    </w:r>
    <w:r w:rsidRPr="0033413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3" w14:textId="5252382A" w:rsidR="003602E0" w:rsidRPr="00334137" w:rsidRDefault="003602E0" w:rsidP="006C56E2">
    <w:pPr>
      <w:pStyle w:val="FooterOdd"/>
    </w:pPr>
    <w:r w:rsidRPr="00334137">
      <w:fldChar w:fldCharType="begin"/>
    </w:r>
    <w:r w:rsidRPr="00334137">
      <w:instrText xml:space="preserve"> PAGE </w:instrText>
    </w:r>
    <w:r w:rsidRPr="00334137">
      <w:fldChar w:fldCharType="separate"/>
    </w:r>
    <w:r>
      <w:rPr>
        <w:noProof/>
      </w:rPr>
      <w:t>13</w:t>
    </w:r>
    <w:r w:rsidRPr="0033413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5" w14:textId="11E326BF" w:rsidR="003602E0" w:rsidRPr="002C3D1A" w:rsidRDefault="007B72E6" w:rsidP="007B72E6">
    <w:pPr>
      <w:pStyle w:val="FooterOdd"/>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AF3" w14:textId="3636F312" w:rsidR="00AC7BB8" w:rsidRDefault="002F018C" w:rsidP="00BA3E45">
    <w:pPr>
      <w:pStyle w:val="FooterEven"/>
    </w:pPr>
    <w:r>
      <w:fldChar w:fldCharType="begin"/>
    </w:r>
    <w:r>
      <w:instrText xml:space="preserve"> PAGE   \* MERGEFORMAT </w:instrText>
    </w:r>
    <w:r>
      <w:fldChar w:fldCharType="separate"/>
    </w:r>
    <w:r>
      <w:t>iii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EB57" w14:textId="77777777" w:rsidR="008055DA" w:rsidRDefault="008055DA" w:rsidP="00DB0F89">
      <w:pPr>
        <w:spacing w:after="180" w:line="260" w:lineRule="exact"/>
      </w:pPr>
      <w:r>
        <w:separator/>
      </w:r>
    </w:p>
  </w:footnote>
  <w:footnote w:type="continuationSeparator" w:id="0">
    <w:p w14:paraId="3698CF80" w14:textId="77777777" w:rsidR="008055DA" w:rsidRDefault="008055DA">
      <w:r>
        <w:continuationSeparator/>
      </w:r>
    </w:p>
  </w:footnote>
  <w:footnote w:type="continuationNotice" w:id="1">
    <w:p w14:paraId="53283367" w14:textId="77777777" w:rsidR="008055DA" w:rsidRDefault="008055DA">
      <w:pPr>
        <w:spacing w:after="0" w:line="240" w:lineRule="auto"/>
      </w:pPr>
    </w:p>
  </w:footnote>
  <w:footnote w:id="2">
    <w:p w14:paraId="571C6E5E" w14:textId="1C4387C5" w:rsidR="003602E0" w:rsidRPr="003A18BA" w:rsidRDefault="00610152" w:rsidP="003A18BA">
      <w:pPr>
        <w:pStyle w:val="FootnoteText"/>
        <w:rPr>
          <w:rStyle w:val="FootnoteReference"/>
          <w:vertAlign w:val="baseline"/>
        </w:rPr>
      </w:pPr>
      <w:r w:rsidRPr="00610152">
        <w:rPr>
          <w:rStyle w:val="FootnoteReference"/>
          <w:vertAlign w:val="baseline"/>
        </w:rPr>
        <w:footnoteRef/>
      </w:r>
      <w:r w:rsidR="003602E0" w:rsidRPr="003A18BA">
        <w:tab/>
      </w:r>
      <w:r w:rsidR="003602E0" w:rsidRPr="003A18BA">
        <w:rPr>
          <w:rStyle w:val="FootnoteReference"/>
          <w:vertAlign w:val="baseline"/>
        </w:rPr>
        <w:t>Section 172(4) of the ASIC Act</w:t>
      </w:r>
      <w:r w:rsidR="003602E0" w:rsidRPr="003A18BA">
        <w:t>.</w:t>
      </w:r>
    </w:p>
  </w:footnote>
  <w:footnote w:id="3">
    <w:p w14:paraId="571C6E5F" w14:textId="4D645BB9" w:rsidR="003602E0" w:rsidRPr="003A18BA" w:rsidRDefault="00610152" w:rsidP="003A18BA">
      <w:pPr>
        <w:pStyle w:val="FootnoteText"/>
        <w:rPr>
          <w:rStyle w:val="FootnoteReference"/>
          <w:vertAlign w:val="baseline"/>
        </w:rPr>
      </w:pPr>
      <w:r w:rsidRPr="00610152">
        <w:rPr>
          <w:rStyle w:val="FootnoteReference"/>
          <w:vertAlign w:val="baseline"/>
        </w:rPr>
        <w:footnoteRef/>
      </w:r>
      <w:r w:rsidR="003602E0" w:rsidRPr="003A18BA">
        <w:tab/>
      </w:r>
      <w:r w:rsidR="003602E0" w:rsidRPr="003A18BA">
        <w:rPr>
          <w:rStyle w:val="FootnoteReference"/>
          <w:vertAlign w:val="baseline"/>
        </w:rPr>
        <w:t>Paragraph [7.16] of the Explanatory Memorandum for the</w:t>
      </w:r>
      <w:r w:rsidR="003602E0" w:rsidRPr="003A18BA">
        <w:t xml:space="preserve"> Corporate Law Economic Reform Program Bill 1998 (Cth)</w:t>
      </w:r>
      <w:r w:rsidR="003602E0" w:rsidRPr="003A18BA">
        <w:rPr>
          <w:rStyle w:val="FootnoteReference"/>
          <w:vertAlign w:val="baseline"/>
        </w:rPr>
        <w:t>.</w:t>
      </w:r>
    </w:p>
  </w:footnote>
  <w:footnote w:id="4">
    <w:p w14:paraId="571C6E60" w14:textId="238E13A0" w:rsidR="003602E0" w:rsidRPr="004E2067" w:rsidRDefault="00610152" w:rsidP="003A18BA">
      <w:pPr>
        <w:pStyle w:val="FootnoteText"/>
      </w:pPr>
      <w:r w:rsidRPr="00610152">
        <w:rPr>
          <w:rStyle w:val="FootnoteReference"/>
          <w:vertAlign w:val="baseline"/>
        </w:rPr>
        <w:footnoteRef/>
      </w:r>
      <w:r w:rsidR="003602E0" w:rsidRPr="003A18BA">
        <w:tab/>
      </w:r>
      <w:r w:rsidR="003602E0" w:rsidRPr="003A18BA">
        <w:rPr>
          <w:rStyle w:val="FootnoteReference"/>
          <w:vertAlign w:val="baseline"/>
        </w:rPr>
        <w:t>Section 659AA of the Corporations Act</w:t>
      </w:r>
      <w:r w:rsidR="003602E0" w:rsidRPr="003A18BA">
        <w:t>.</w:t>
      </w:r>
    </w:p>
  </w:footnote>
  <w:footnote w:id="5">
    <w:p w14:paraId="2FE30288" w14:textId="2FB140B3" w:rsidR="00EB0CA7" w:rsidRPr="003A18BA" w:rsidRDefault="00610152" w:rsidP="003A18BA">
      <w:pPr>
        <w:pStyle w:val="FootnoteText"/>
      </w:pPr>
      <w:r w:rsidRPr="00610152">
        <w:rPr>
          <w:rStyle w:val="FootnoteReference"/>
          <w:vertAlign w:val="baseline"/>
        </w:rPr>
        <w:footnoteRef/>
      </w:r>
      <w:r w:rsidR="00EB0CA7" w:rsidRPr="003A18BA">
        <w:t xml:space="preserve"> </w:t>
      </w:r>
      <w:r w:rsidR="003A18BA" w:rsidRPr="003A18BA">
        <w:tab/>
      </w:r>
      <w:r w:rsidR="00EB0CA7" w:rsidRPr="003A18BA">
        <w:t xml:space="preserve">A breakdown of </w:t>
      </w:r>
      <w:r w:rsidR="008216D6" w:rsidRPr="003A18BA">
        <w:t xml:space="preserve">days </w:t>
      </w:r>
      <w:r w:rsidR="00C3232B" w:rsidRPr="003A18BA">
        <w:t xml:space="preserve">from </w:t>
      </w:r>
      <w:r w:rsidR="008216D6" w:rsidRPr="003A18BA">
        <w:t xml:space="preserve">application and decision </w:t>
      </w:r>
      <w:r w:rsidR="00EB0CA7" w:rsidRPr="003A18BA">
        <w:t xml:space="preserve">is in Table 4: Time to decision by the Panel, </w:t>
      </w:r>
      <w:r w:rsidR="003A18BA" w:rsidRPr="003A18BA">
        <w:br/>
      </w:r>
      <w:r w:rsidR="00EB0CA7" w:rsidRPr="003A18BA">
        <w:t>202</w:t>
      </w:r>
      <w:r w:rsidR="001E1DEC">
        <w:t>3</w:t>
      </w:r>
      <w:r w:rsidR="00EB0CA7" w:rsidRPr="003A18BA">
        <w:t>–2</w:t>
      </w:r>
      <w:r w:rsidR="001E1DEC">
        <w:t>4</w:t>
      </w:r>
      <w:r w:rsidR="00EB0CA7" w:rsidRPr="003A18BA">
        <w:t>.</w:t>
      </w:r>
      <w:r w:rsidR="00EB0CA7" w:rsidRPr="003A18BA">
        <w:fldChar w:fldCharType="begin"/>
      </w:r>
      <w:r w:rsidR="00EB0CA7" w:rsidRPr="003A18BA">
        <w:instrText>xe "Decision"</w:instrText>
      </w:r>
      <w:r w:rsidR="00EB0CA7" w:rsidRPr="003A18BA">
        <w:fldChar w:fldCharType="end"/>
      </w:r>
    </w:p>
  </w:footnote>
  <w:footnote w:id="6">
    <w:p w14:paraId="571C6E62" w14:textId="5093193D" w:rsidR="003602E0" w:rsidRPr="00EE564A" w:rsidRDefault="00610152" w:rsidP="00EE564A">
      <w:pPr>
        <w:pStyle w:val="FootnoteText"/>
        <w:rPr>
          <w:rStyle w:val="FootnoteReference"/>
          <w:vertAlign w:val="baseline"/>
        </w:rPr>
      </w:pPr>
      <w:r w:rsidRPr="00EE564A">
        <w:footnoteRef/>
      </w:r>
      <w:r w:rsidR="003602E0" w:rsidRPr="00EE564A">
        <w:t xml:space="preserve"> </w:t>
      </w:r>
      <w:r w:rsidR="003602E0" w:rsidRPr="00EE564A">
        <w:rPr>
          <w:rStyle w:val="FootnoteReference"/>
          <w:vertAlign w:val="baseline"/>
        </w:rPr>
        <w:tab/>
        <w:t>Section 657A and, if</w:t>
      </w:r>
      <w:r w:rsidR="003602E0" w:rsidRPr="00EE564A">
        <w:t xml:space="preserve"> a declaration is</w:t>
      </w:r>
      <w:r w:rsidR="003602E0" w:rsidRPr="00EE564A">
        <w:rPr>
          <w:rStyle w:val="FootnoteReference"/>
          <w:vertAlign w:val="baseline"/>
        </w:rPr>
        <w:t xml:space="preserve"> made, orders under section 657D.</w:t>
      </w:r>
    </w:p>
  </w:footnote>
  <w:footnote w:id="7">
    <w:p w14:paraId="571C6E63" w14:textId="21790CD5" w:rsidR="003602E0" w:rsidRPr="00EE564A" w:rsidRDefault="00610152" w:rsidP="00EE564A">
      <w:pPr>
        <w:pStyle w:val="FootnoteText"/>
        <w:rPr>
          <w:rStyle w:val="FootnoteReference"/>
          <w:vertAlign w:val="baseline"/>
        </w:rPr>
      </w:pPr>
      <w:r w:rsidRPr="00EE564A">
        <w:footnoteRef/>
      </w:r>
      <w:r w:rsidR="003602E0" w:rsidRPr="00EE564A">
        <w:rPr>
          <w:rStyle w:val="FootnoteReference"/>
          <w:vertAlign w:val="baseline"/>
        </w:rPr>
        <w:t xml:space="preserve"> </w:t>
      </w:r>
      <w:r w:rsidR="003602E0" w:rsidRPr="00EE564A">
        <w:rPr>
          <w:rStyle w:val="FootnoteReference"/>
          <w:vertAlign w:val="baseline"/>
        </w:rPr>
        <w:tab/>
        <w:t>Under section 655A and, during a takeover bid, section 673 (see se</w:t>
      </w:r>
      <w:r w:rsidR="003602E0" w:rsidRPr="00EE564A">
        <w:t xml:space="preserve">ction </w:t>
      </w:r>
      <w:r w:rsidR="003602E0" w:rsidRPr="00EE564A">
        <w:rPr>
          <w:rStyle w:val="FootnoteReference"/>
          <w:vertAlign w:val="baseline"/>
        </w:rPr>
        <w:t>656A).</w:t>
      </w:r>
    </w:p>
  </w:footnote>
  <w:footnote w:id="8">
    <w:p w14:paraId="571C6E64" w14:textId="10672A90" w:rsidR="003602E0" w:rsidRPr="004E2067" w:rsidRDefault="00610152" w:rsidP="00EE564A">
      <w:pPr>
        <w:pStyle w:val="FootnoteText"/>
        <w:rPr>
          <w:rStyle w:val="FootnoteReference"/>
          <w:vertAlign w:val="baseline"/>
        </w:rPr>
      </w:pPr>
      <w:r w:rsidRPr="00EE564A">
        <w:footnoteRef/>
      </w:r>
      <w:r w:rsidR="003602E0" w:rsidRPr="00EE564A">
        <w:rPr>
          <w:rStyle w:val="FootnoteReference"/>
          <w:vertAlign w:val="baseline"/>
        </w:rPr>
        <w:t xml:space="preserve"> </w:t>
      </w:r>
      <w:r w:rsidR="003602E0" w:rsidRPr="00EE564A">
        <w:rPr>
          <w:rStyle w:val="FootnoteReference"/>
          <w:vertAlign w:val="baseline"/>
        </w:rPr>
        <w:tab/>
        <w:t>Section 656A(3).</w:t>
      </w:r>
    </w:p>
  </w:footnote>
  <w:footnote w:id="9">
    <w:p w14:paraId="571C6E65" w14:textId="4134211E" w:rsidR="003602E0" w:rsidRPr="00EE564A" w:rsidRDefault="00610152" w:rsidP="00EE564A">
      <w:pPr>
        <w:pStyle w:val="FootnoteText"/>
      </w:pPr>
      <w:r w:rsidRPr="00EE564A">
        <w:rPr>
          <w:rStyle w:val="FootnoteReference"/>
          <w:vertAlign w:val="baseline"/>
        </w:rPr>
        <w:footnoteRef/>
      </w:r>
      <w:r w:rsidR="003602E0" w:rsidRPr="00EE564A">
        <w:rPr>
          <w:rStyle w:val="FootnoteReference"/>
          <w:vertAlign w:val="baseline"/>
        </w:rPr>
        <w:t xml:space="preserve"> </w:t>
      </w:r>
      <w:r w:rsidR="003602E0" w:rsidRPr="00EE564A">
        <w:tab/>
        <w:t>Section 9. However, it cannot make an order directing a person to comply with a requirement of</w:t>
      </w:r>
      <w:r w:rsidR="003602E0" w:rsidRPr="00EE564A">
        <w:br/>
        <w:t>Chapters 6</w:t>
      </w:r>
      <w:r w:rsidR="00CD2FE5" w:rsidRPr="00EE564A">
        <w:t xml:space="preserve"> – </w:t>
      </w:r>
      <w:r w:rsidR="003602E0" w:rsidRPr="00EE564A">
        <w:t>6C.</w:t>
      </w:r>
    </w:p>
  </w:footnote>
  <w:footnote w:id="10">
    <w:p w14:paraId="571C6E66" w14:textId="2ADF3E81" w:rsidR="003602E0" w:rsidRPr="00EE564A" w:rsidRDefault="00610152" w:rsidP="00EE564A">
      <w:pPr>
        <w:pStyle w:val="FootnoteText"/>
      </w:pPr>
      <w:r w:rsidRPr="00EE564A">
        <w:rPr>
          <w:rStyle w:val="FootnoteReference"/>
          <w:vertAlign w:val="baseline"/>
        </w:rPr>
        <w:footnoteRef/>
      </w:r>
      <w:r w:rsidR="003602E0" w:rsidRPr="00EE564A">
        <w:tab/>
        <w:t>Only with consent of the President if the initial Panel did not make a declaration or orders. See generally section 657EA.</w:t>
      </w:r>
    </w:p>
  </w:footnote>
  <w:footnote w:id="11">
    <w:p w14:paraId="571C6E67" w14:textId="36FF2E9A" w:rsidR="003602E0" w:rsidRPr="00EE564A" w:rsidRDefault="00610152" w:rsidP="00EE564A">
      <w:pPr>
        <w:pStyle w:val="FootnoteText"/>
      </w:pPr>
      <w:r w:rsidRPr="00EE564A">
        <w:rPr>
          <w:rStyle w:val="FootnoteReference"/>
          <w:vertAlign w:val="baseline"/>
        </w:rPr>
        <w:footnoteRef/>
      </w:r>
      <w:r w:rsidR="003602E0" w:rsidRPr="00EE564A">
        <w:rPr>
          <w:rFonts w:eastAsia="Batang"/>
        </w:rPr>
        <w:tab/>
        <w:t>Section 658C.</w:t>
      </w:r>
    </w:p>
  </w:footnote>
  <w:footnote w:id="12">
    <w:p w14:paraId="571C6E68" w14:textId="5F8F918C" w:rsidR="003602E0" w:rsidRPr="00EE564A" w:rsidRDefault="00610152" w:rsidP="00EE564A">
      <w:pPr>
        <w:pStyle w:val="FootnoteText"/>
        <w:rPr>
          <w:rFonts w:eastAsia="Batang"/>
        </w:rPr>
      </w:pPr>
      <w:r w:rsidRPr="00EE564A">
        <w:rPr>
          <w:rStyle w:val="FootnoteReference"/>
          <w:vertAlign w:val="baseline"/>
        </w:rPr>
        <w:footnoteRef/>
      </w:r>
      <w:r w:rsidR="003602E0" w:rsidRPr="00EE564A">
        <w:rPr>
          <w:rStyle w:val="FootnoteReference"/>
          <w:vertAlign w:val="baseline"/>
        </w:rPr>
        <w:t xml:space="preserve"> </w:t>
      </w:r>
      <w:r w:rsidR="003602E0" w:rsidRPr="00EE564A">
        <w:rPr>
          <w:rFonts w:eastAsia="Batang"/>
        </w:rPr>
        <w:tab/>
        <w:t>Section 195 of the ASIC Act.</w:t>
      </w:r>
    </w:p>
  </w:footnote>
  <w:footnote w:id="13">
    <w:p w14:paraId="571C6E69" w14:textId="0BD40D93" w:rsidR="003602E0" w:rsidRPr="004E2067" w:rsidRDefault="00610152" w:rsidP="00EE564A">
      <w:pPr>
        <w:pStyle w:val="FootnoteText"/>
      </w:pPr>
      <w:r w:rsidRPr="00EE564A">
        <w:rPr>
          <w:rStyle w:val="FootnoteReference"/>
          <w:vertAlign w:val="baseline"/>
        </w:rPr>
        <w:footnoteRef/>
      </w:r>
      <w:r w:rsidR="003602E0" w:rsidRPr="00EE564A">
        <w:rPr>
          <w:rFonts w:eastAsia="Batang"/>
        </w:rPr>
        <w:tab/>
      </w:r>
      <w:r w:rsidR="003602E0" w:rsidRPr="00EE564A">
        <w:t>Section 657EB.</w:t>
      </w:r>
    </w:p>
  </w:footnote>
  <w:footnote w:id="14">
    <w:p w14:paraId="571C6E6A" w14:textId="386CDF54" w:rsidR="003602E0" w:rsidRPr="00EE564A" w:rsidRDefault="00610152" w:rsidP="00EE564A">
      <w:pPr>
        <w:pStyle w:val="FootnoteText"/>
      </w:pPr>
      <w:r w:rsidRPr="00EE564A">
        <w:rPr>
          <w:rStyle w:val="FootnoteReference"/>
          <w:vertAlign w:val="baseline"/>
        </w:rPr>
        <w:footnoteRef/>
      </w:r>
      <w:r w:rsidR="003602E0" w:rsidRPr="00EE564A">
        <w:t xml:space="preserve"> </w:t>
      </w:r>
      <w:r w:rsidR="00FE7C3B" w:rsidRPr="00EE564A">
        <w:tab/>
      </w:r>
      <w:r w:rsidR="003602E0" w:rsidRPr="00EE564A">
        <w:t>Section 173 of the ASIC Act.</w:t>
      </w:r>
    </w:p>
  </w:footnote>
  <w:footnote w:id="15">
    <w:p w14:paraId="571C6E6B" w14:textId="54A22CA2" w:rsidR="003602E0" w:rsidRPr="00EE564A" w:rsidRDefault="00610152" w:rsidP="00EE564A">
      <w:pPr>
        <w:pStyle w:val="FootnoteText"/>
      </w:pPr>
      <w:r w:rsidRPr="00EE564A">
        <w:rPr>
          <w:rStyle w:val="FootnoteReference"/>
          <w:vertAlign w:val="baseline"/>
        </w:rPr>
        <w:footnoteRef/>
      </w:r>
      <w:r w:rsidR="003602E0" w:rsidRPr="00EE564A">
        <w:rPr>
          <w:rFonts w:eastAsia="Batang"/>
        </w:rPr>
        <w:tab/>
      </w:r>
      <w:r w:rsidR="003602E0" w:rsidRPr="00EE564A">
        <w:t>Sections 182(1)(a)&amp;(b) of the ASIC Act.</w:t>
      </w:r>
    </w:p>
  </w:footnote>
  <w:footnote w:id="16">
    <w:p w14:paraId="571C6E6C" w14:textId="14D813C3" w:rsidR="003602E0" w:rsidRPr="004E2067" w:rsidRDefault="00610152" w:rsidP="004E2067">
      <w:pPr>
        <w:pStyle w:val="FootnoteText"/>
      </w:pPr>
      <w:r w:rsidRPr="00610152">
        <w:rPr>
          <w:rStyle w:val="FootnoteReference"/>
          <w:vertAlign w:val="baseline"/>
        </w:rPr>
        <w:footnoteRef/>
      </w:r>
      <w:r w:rsidR="003602E0" w:rsidRPr="004E2067">
        <w:tab/>
        <w:t>Section 172 of the ASIC Act.</w:t>
      </w:r>
    </w:p>
  </w:footnote>
  <w:footnote w:id="17">
    <w:p w14:paraId="571C6E6D" w14:textId="00B5AB81" w:rsidR="003602E0" w:rsidRPr="004E2067" w:rsidRDefault="00610152" w:rsidP="004E2067">
      <w:pPr>
        <w:pStyle w:val="FootnoteText"/>
      </w:pPr>
      <w:r w:rsidRPr="00610152">
        <w:rPr>
          <w:rStyle w:val="FootnoteReference"/>
          <w:vertAlign w:val="baseline"/>
        </w:rPr>
        <w:footnoteRef/>
      </w:r>
      <w:r w:rsidR="003602E0" w:rsidRPr="004E2067">
        <w:rPr>
          <w:rStyle w:val="FootnoteReference"/>
          <w:vertAlign w:val="baseline"/>
        </w:rPr>
        <w:t xml:space="preserve"> </w:t>
      </w:r>
      <w:r w:rsidR="003602E0" w:rsidRPr="004E2067">
        <w:tab/>
        <w:t>Section 172(4A) of the ASIC Act.</w:t>
      </w:r>
    </w:p>
  </w:footnote>
  <w:footnote w:id="18">
    <w:p w14:paraId="63BCC086" w14:textId="69C84CC5" w:rsidR="003602E0" w:rsidRDefault="00610152" w:rsidP="004106FC">
      <w:pPr>
        <w:pStyle w:val="FootnoteText"/>
      </w:pPr>
      <w:r w:rsidRPr="00610152">
        <w:rPr>
          <w:rStyle w:val="FootnoteReference"/>
          <w:vertAlign w:val="baseline"/>
        </w:rPr>
        <w:footnoteRef/>
      </w:r>
      <w:r w:rsidR="003602E0">
        <w:t xml:space="preserve"> </w:t>
      </w:r>
      <w:r w:rsidR="003602E0">
        <w:tab/>
        <w:t xml:space="preserve">Regulations 35 to 41 of the </w:t>
      </w:r>
      <w:r w:rsidR="003602E0" w:rsidRPr="00746594">
        <w:rPr>
          <w:iCs/>
        </w:rPr>
        <w:t>ASIC Regulations</w:t>
      </w:r>
      <w:r w:rsidR="003602E0">
        <w:t>.</w:t>
      </w:r>
    </w:p>
  </w:footnote>
  <w:footnote w:id="19">
    <w:p w14:paraId="5B32C6CB" w14:textId="4AFEF0E4" w:rsidR="003602E0" w:rsidRDefault="00610152" w:rsidP="004106FC">
      <w:pPr>
        <w:pStyle w:val="FootnoteText"/>
      </w:pPr>
      <w:r w:rsidRPr="00610152">
        <w:rPr>
          <w:rStyle w:val="FootnoteReference"/>
          <w:vertAlign w:val="baseline"/>
        </w:rPr>
        <w:footnoteRef/>
      </w:r>
      <w:r w:rsidR="003602E0">
        <w:t xml:space="preserve"> </w:t>
      </w:r>
      <w:r w:rsidR="003602E0">
        <w:tab/>
        <w:t xml:space="preserve">Section 192 of the ASIC Act. </w:t>
      </w:r>
    </w:p>
  </w:footnote>
  <w:footnote w:id="20">
    <w:p w14:paraId="571C6E6F" w14:textId="5FCF3CF3" w:rsidR="003602E0" w:rsidRPr="004E2067" w:rsidRDefault="00610152" w:rsidP="004E2067">
      <w:pPr>
        <w:pStyle w:val="FootnoteText"/>
      </w:pPr>
      <w:r w:rsidRPr="00610152">
        <w:rPr>
          <w:rStyle w:val="FootnoteReference"/>
          <w:vertAlign w:val="baseline"/>
        </w:rPr>
        <w:footnoteRef/>
      </w:r>
      <w:r w:rsidR="003602E0" w:rsidRPr="004E2067">
        <w:rPr>
          <w:rStyle w:val="FootnoteReference"/>
          <w:vertAlign w:val="baseline"/>
        </w:rPr>
        <w:tab/>
      </w:r>
      <w:r w:rsidR="003602E0" w:rsidRPr="004E2067">
        <w:t>Section 201A of the ASIC Act.</w:t>
      </w:r>
    </w:p>
  </w:footnote>
  <w:footnote w:id="21">
    <w:p w14:paraId="47E4668A" w14:textId="16933C78" w:rsidR="00B956B4" w:rsidRPr="00FE7C3B" w:rsidRDefault="00610152" w:rsidP="008E679A">
      <w:pPr>
        <w:pStyle w:val="FootnoteText"/>
      </w:pPr>
      <w:r w:rsidRPr="00610152">
        <w:rPr>
          <w:rStyle w:val="FootnoteReference"/>
          <w:vertAlign w:val="baseline"/>
        </w:rPr>
        <w:footnoteRef/>
      </w:r>
      <w:r w:rsidR="00B956B4" w:rsidRPr="00FE7C3B">
        <w:t xml:space="preserve"> </w:t>
      </w:r>
      <w:r w:rsidR="009D690D">
        <w:tab/>
      </w:r>
      <w:r w:rsidR="00B956B4" w:rsidRPr="00FE7C3B">
        <w:t>Average days to decision for each time band. For example the average days to decision for the matters that were decided between 15 and 31 days was 2</w:t>
      </w:r>
      <w:r w:rsidR="00ED58E4">
        <w:t>2</w:t>
      </w:r>
      <w:r w:rsidR="00B956B4" w:rsidRPr="00FE7C3B">
        <w:t>.</w:t>
      </w:r>
      <w:r w:rsidR="00ED58E4">
        <w:t>1</w:t>
      </w:r>
      <w:r w:rsidR="00B956B4" w:rsidRPr="00FE7C3B">
        <w:t xml:space="preserve"> days</w:t>
      </w:r>
      <w:r w:rsidR="001F0DE8">
        <w:t xml:space="preserve">. </w:t>
      </w:r>
    </w:p>
  </w:footnote>
  <w:footnote w:id="22">
    <w:p w14:paraId="7CA0B18C" w14:textId="1AF6E158" w:rsidR="00CF42DC" w:rsidRDefault="00CF42DC">
      <w:pPr>
        <w:pStyle w:val="FootnoteText"/>
      </w:pPr>
      <w:r w:rsidRPr="00157335">
        <w:footnoteRef/>
      </w:r>
      <w:r w:rsidRPr="00157335">
        <w:t xml:space="preserve"> </w:t>
      </w:r>
      <w:r w:rsidR="00BF3F03">
        <w:tab/>
      </w:r>
      <w:r>
        <w:t>In 2023</w:t>
      </w:r>
      <w:r w:rsidR="008941F8">
        <w:noBreakHyphen/>
      </w:r>
      <w:r>
        <w:t xml:space="preserve">24, the Panel held 2 </w:t>
      </w:r>
      <w:r w:rsidR="00E32972">
        <w:t xml:space="preserve">Panel </w:t>
      </w:r>
      <w:r>
        <w:t>days in August and November 2023</w:t>
      </w:r>
    </w:p>
  </w:footnote>
  <w:footnote w:id="23">
    <w:p w14:paraId="571C6E71" w14:textId="5920D680" w:rsidR="003602E0" w:rsidRPr="004E2067" w:rsidRDefault="00610152" w:rsidP="004E2067">
      <w:pPr>
        <w:pStyle w:val="FootnoteText"/>
      </w:pPr>
      <w:r w:rsidRPr="00610152">
        <w:rPr>
          <w:rStyle w:val="FootnoteReference"/>
          <w:vertAlign w:val="baseline"/>
        </w:rPr>
        <w:footnoteRef/>
      </w:r>
      <w:r w:rsidR="003602E0" w:rsidRPr="004E2067">
        <w:rPr>
          <w:rStyle w:val="FootnoteReference"/>
          <w:vertAlign w:val="baseline"/>
        </w:rPr>
        <w:t xml:space="preserve"> </w:t>
      </w:r>
      <w:r w:rsidR="003602E0" w:rsidRPr="004E2067">
        <w:tab/>
        <w:t>Regulation 18</w:t>
      </w:r>
      <w:r w:rsidR="003602E0">
        <w:t xml:space="preserve"> of the</w:t>
      </w:r>
      <w:r w:rsidR="003602E0">
        <w:rPr>
          <w:iCs/>
        </w:rPr>
        <w:t xml:space="preserve"> ASIC Regulations</w:t>
      </w:r>
      <w:r w:rsidR="003602E0" w:rsidRPr="004E2067">
        <w:t>.</w:t>
      </w:r>
    </w:p>
  </w:footnote>
  <w:footnote w:id="24">
    <w:p w14:paraId="571C6E72" w14:textId="3B8F9DB0" w:rsidR="003602E0" w:rsidRPr="00764409" w:rsidRDefault="00610152" w:rsidP="004E2067">
      <w:pPr>
        <w:pStyle w:val="FootnoteText"/>
      </w:pPr>
      <w:r w:rsidRPr="00610152">
        <w:rPr>
          <w:rFonts w:eastAsia="Batang"/>
        </w:rPr>
        <w:footnoteRef/>
      </w:r>
      <w:r w:rsidR="003602E0" w:rsidRPr="004E2067">
        <w:tab/>
        <w:t>Section 657EA.</w:t>
      </w:r>
      <w:r w:rsidR="003602E0">
        <w:t xml:space="preserve"> A decision that is not a decision to make a declaration, an interim order or a final order </w:t>
      </w:r>
      <w:r w:rsidR="003602E0" w:rsidRPr="00764409">
        <w:t>can only be reviewed under this section with the President</w:t>
      </w:r>
      <w:r w:rsidR="008941F8">
        <w:t>’</w:t>
      </w:r>
      <w:r w:rsidR="003602E0" w:rsidRPr="00764409">
        <w:t>s consent.</w:t>
      </w:r>
    </w:p>
  </w:footnote>
  <w:footnote w:id="25">
    <w:p w14:paraId="571C6E73" w14:textId="0BC34E7F" w:rsidR="003602E0" w:rsidRPr="00764409" w:rsidRDefault="00610152" w:rsidP="004E2067">
      <w:pPr>
        <w:pStyle w:val="FootnoteText"/>
        <w:rPr>
          <w:rFonts w:eastAsia="Batang"/>
        </w:rPr>
      </w:pPr>
      <w:r w:rsidRPr="00764409">
        <w:rPr>
          <w:rFonts w:eastAsia="Batang"/>
        </w:rPr>
        <w:footnoteRef/>
      </w:r>
      <w:r w:rsidR="003602E0" w:rsidRPr="00764409">
        <w:tab/>
        <w:t xml:space="preserve">Section 75(v) of the Constitution, the </w:t>
      </w:r>
      <w:r w:rsidR="003602E0" w:rsidRPr="00764409">
        <w:rPr>
          <w:i/>
        </w:rPr>
        <w:t>Judiciary Act 1903</w:t>
      </w:r>
      <w:r w:rsidR="003602E0" w:rsidRPr="00764409">
        <w:t xml:space="preserve"> and the </w:t>
      </w:r>
      <w:r w:rsidR="003602E0" w:rsidRPr="00764409">
        <w:rPr>
          <w:i/>
        </w:rPr>
        <w:t>Administrative Decisions (Judicial Review) Act 1977</w:t>
      </w:r>
      <w:r w:rsidR="003602E0" w:rsidRPr="00764409">
        <w:t>, see page 23 for details about current judicial reviews of Panel decisions.</w:t>
      </w:r>
    </w:p>
  </w:footnote>
  <w:footnote w:id="26">
    <w:p w14:paraId="6611BE05" w14:textId="2CD2B00D" w:rsidR="00F33461" w:rsidRDefault="00610152">
      <w:pPr>
        <w:pStyle w:val="FootnoteText"/>
      </w:pPr>
      <w:r w:rsidRPr="00764409">
        <w:rPr>
          <w:rFonts w:eastAsia="Batang"/>
        </w:rPr>
        <w:footnoteRef/>
      </w:r>
      <w:r w:rsidR="00F33461" w:rsidRPr="00764409">
        <w:rPr>
          <w:rFonts w:eastAsia="Batang"/>
        </w:rPr>
        <w:t xml:space="preserve"> </w:t>
      </w:r>
      <w:r w:rsidR="00F33461" w:rsidRPr="00764409">
        <w:rPr>
          <w:rFonts w:eastAsia="Batang"/>
        </w:rPr>
        <w:tab/>
      </w:r>
      <w:r w:rsidR="00764409">
        <w:t xml:space="preserve">Mr Allan Bulman and Mr Andrew Bubniw appeared before the </w:t>
      </w:r>
      <w:r w:rsidR="00764409" w:rsidRPr="00CF42DC">
        <w:t>Parliamentary Joint Committee on Corporations and Financial Services</w:t>
      </w:r>
      <w:r w:rsidR="00764409">
        <w:t xml:space="preserve"> on 20 October 2023</w:t>
      </w:r>
    </w:p>
  </w:footnote>
  <w:footnote w:id="27">
    <w:p w14:paraId="571C6E74" w14:textId="6699BF72" w:rsidR="003602E0" w:rsidRPr="006E2C33" w:rsidRDefault="00610152" w:rsidP="006E2C33">
      <w:pPr>
        <w:pStyle w:val="FootnoteText"/>
      </w:pPr>
      <w:r w:rsidRPr="00610152">
        <w:rPr>
          <w:rFonts w:eastAsia="Batang"/>
        </w:rPr>
        <w:footnoteRef/>
      </w:r>
      <w:r w:rsidR="003602E0" w:rsidRPr="006E2C33">
        <w:t xml:space="preserve"> </w:t>
      </w:r>
      <w:r w:rsidR="003602E0" w:rsidRPr="006E2C33">
        <w:tab/>
        <w:t xml:space="preserve">The Panel also engaged </w:t>
      </w:r>
      <w:r w:rsidR="003602E0">
        <w:t>two</w:t>
      </w:r>
      <w:r w:rsidR="003602E0" w:rsidRPr="006E2C33">
        <w:t xml:space="preserve"> senior lawyer</w:t>
      </w:r>
      <w:r w:rsidR="003602E0">
        <w:t>s</w:t>
      </w:r>
      <w:r w:rsidR="003602E0" w:rsidRPr="006E2C33">
        <w:t xml:space="preserve"> as c</w:t>
      </w:r>
      <w:r w:rsidR="003602E0">
        <w:t xml:space="preserve">ontractors </w:t>
      </w:r>
      <w:r w:rsidR="003602E0" w:rsidRPr="006E2C33">
        <w:t xml:space="preserve">for a period. </w:t>
      </w:r>
    </w:p>
  </w:footnote>
  <w:footnote w:id="28">
    <w:p w14:paraId="571C6E75" w14:textId="3DFCDD98" w:rsidR="003602E0" w:rsidRPr="004E2067" w:rsidRDefault="00610152" w:rsidP="006E2C33">
      <w:pPr>
        <w:pStyle w:val="FootnoteText"/>
      </w:pPr>
      <w:r w:rsidRPr="00610152">
        <w:rPr>
          <w:rStyle w:val="FootnoteReference"/>
          <w:vertAlign w:val="baseline"/>
        </w:rPr>
        <w:footnoteRef/>
      </w:r>
      <w:r w:rsidR="003602E0" w:rsidRPr="006E2C33">
        <w:t xml:space="preserve"> </w:t>
      </w:r>
      <w:r w:rsidR="003602E0" w:rsidRPr="006E2C33">
        <w:tab/>
      </w:r>
      <w:r w:rsidR="003602E0" w:rsidRPr="006E2C33">
        <w:rPr>
          <w:rStyle w:val="FootnoteReference"/>
          <w:vertAlign w:val="baseline"/>
        </w:rPr>
        <w:t>No employees identified themselves as Indigenous at 30 June 20</w:t>
      </w:r>
      <w:r w:rsidR="003602E0">
        <w:t>2</w:t>
      </w:r>
      <w:r w:rsidR="000B04CD">
        <w:t>4</w:t>
      </w:r>
      <w:r w:rsidR="003602E0" w:rsidRPr="006E2C33">
        <w:rPr>
          <w:rStyle w:val="FootnoteReference"/>
          <w:vertAlign w:val="baseline"/>
        </w:rPr>
        <w:t>.</w:t>
      </w:r>
    </w:p>
  </w:footnote>
  <w:footnote w:id="29">
    <w:p w14:paraId="571C6E77" w14:textId="4C166412" w:rsidR="003602E0" w:rsidRPr="00BA59FE" w:rsidRDefault="00610152" w:rsidP="008715D6">
      <w:pPr>
        <w:pStyle w:val="FootnoteText"/>
      </w:pPr>
      <w:r w:rsidRPr="00610152">
        <w:rPr>
          <w:rStyle w:val="FootnoteReference"/>
          <w:vertAlign w:val="baseline"/>
        </w:rPr>
        <w:footnoteRef/>
      </w:r>
      <w:r w:rsidR="003602E0" w:rsidRPr="00BA59FE">
        <w:t xml:space="preserve"> </w:t>
      </w:r>
      <w:r w:rsidR="003602E0" w:rsidRPr="00BA59FE">
        <w:tab/>
      </w:r>
      <w:r w:rsidR="003602E0" w:rsidRPr="006D486A">
        <w:t>Under sections 657C and 657EA.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28" w14:textId="5820EF68" w:rsidR="003602E0" w:rsidRDefault="005C1622" w:rsidP="00334137">
    <w:pPr>
      <w:pStyle w:val="Header"/>
    </w:pPr>
    <w:r>
      <w:rPr>
        <w:noProof/>
      </w:rPr>
      <mc:AlternateContent>
        <mc:Choice Requires="wps">
          <w:drawing>
            <wp:inline distT="0" distB="0" distL="0" distR="0" wp14:anchorId="60E60531" wp14:editId="47AB98CC">
              <wp:extent cx="47625" cy="1132840"/>
              <wp:effectExtent l="0" t="0" r="0" b="0"/>
              <wp:docPr id="20496591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132840"/>
                      </a:xfrm>
                      <a:prstGeom prst="rect">
                        <a:avLst/>
                      </a:prstGeom>
                    </wps:spPr>
                    <wps:txbx>
                      <w:txbxContent>
                        <w:p w14:paraId="571C6E82" w14:textId="77777777" w:rsidR="003602E0" w:rsidRDefault="003602E0" w:rsidP="006B6647">
                          <w:r w:rsidRPr="005C1622">
                            <w:rPr>
                              <w:outline/>
                              <w:sz w:val="2"/>
                              <w:szCs w:val="2"/>
                              <w14:textOutline w14:w="9525" w14:cap="flat" w14:cmpd="sng" w14:algn="ctr">
                                <w14:solidFill>
                                  <w14:srgbClr w14:val="00000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0E60531" id="_x0000_t202" coordsize="21600,21600" o:spt="202" path="m,l,21600r21600,l21600,xe">
              <v:stroke joinstyle="miter"/>
              <v:path gradientshapeok="t" o:connecttype="rect"/>
            </v:shapetype>
            <v:shape id="Text Box 5" o:spid="_x0000_s1027" type="#_x0000_t202" style="width:3.7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" filled="f" stroked="f">
              <o:lock v:ext="edit" shapetype="t"/>
              <v:textbox style="mso-fit-shape-to-text:t">
                <w:txbxContent>
                  <w:p w14:paraId="571C6E82" w14:textId="77777777" w:rsidR="003602E0" w:rsidRDefault="003602E0" w:rsidP="006B6647">
                    <w:r w:rsidRPr="005C1622">
                      <w:rPr>
                        <w:outline/>
                        <w:sz w:val="2"/>
                        <w:szCs w:val="2"/>
                        <w14:textOutline w14:w="9525" w14:cap="flat" w14:cmpd="sng" w14:algn="ctr">
                          <w14:solidFill>
                            <w14:srgbClr w14:val="000000"/>
                          </w14:solidFill>
                          <w14:prstDash w14:val="solid"/>
                          <w14:round/>
                        </w14:textOutline>
                        <w14:textFill>
                          <w14:noFill/>
                        </w14:textFill>
                      </w:rPr>
                      <w:t>Draft</w:t>
                    </w:r>
                  </w:p>
                </w:txbxContent>
              </v:textbox>
              <w10:anchorlock/>
            </v:shape>
          </w:pict>
        </mc:Fallback>
      </mc:AlternateContent>
    </w:r>
    <w:r>
      <w:rPr>
        <w:noProof/>
      </w:rPr>
      <mc:AlternateContent>
        <mc:Choice Requires="wps">
          <w:drawing>
            <wp:inline distT="0" distB="0" distL="0" distR="0" wp14:anchorId="038E04BD" wp14:editId="578FA1E1">
              <wp:extent cx="47625" cy="1132840"/>
              <wp:effectExtent l="0" t="0" r="0" b="0"/>
              <wp:docPr id="5067530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132840"/>
                      </a:xfrm>
                      <a:prstGeom prst="rect">
                        <a:avLst/>
                      </a:prstGeom>
                    </wps:spPr>
                    <wps:txbx>
                      <w:txbxContent>
                        <w:p w14:paraId="571C6E83" w14:textId="77777777" w:rsidR="003602E0" w:rsidRDefault="003602E0" w:rsidP="006B6647">
                          <w:r w:rsidRPr="005C1622">
                            <w:rPr>
                              <w:outline/>
                              <w:sz w:val="2"/>
                              <w:szCs w:val="2"/>
                              <w14:textOutline w14:w="9525" w14:cap="flat" w14:cmpd="sng" w14:algn="ctr">
                                <w14:solidFill>
                                  <w14:srgbClr w14:val="00000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inline>
          </w:drawing>
        </mc:Choice>
        <mc:Fallback>
          <w:pict>
            <v:shape w14:anchorId="038E04BD" id="Text Box 4" o:spid="_x0000_s1028" type="#_x0000_t202" style="width:3.7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" filled="f" stroked="f">
              <o:lock v:ext="edit" shapetype="t"/>
              <v:textbox style="mso-fit-shape-to-text:t">
                <w:txbxContent>
                  <w:p w14:paraId="571C6E83" w14:textId="77777777" w:rsidR="003602E0" w:rsidRDefault="003602E0" w:rsidP="006B6647">
                    <w:r w:rsidRPr="005C1622">
                      <w:rPr>
                        <w:outline/>
                        <w:sz w:val="2"/>
                        <w:szCs w:val="2"/>
                        <w14:textOutline w14:w="9525" w14:cap="flat" w14:cmpd="sng" w14:algn="ctr">
                          <w14:solidFill>
                            <w14:srgbClr w14:val="000000"/>
                          </w14:solidFill>
                          <w14:prstDash w14:val="solid"/>
                          <w14:round/>
                        </w14:textOutline>
                        <w14:textFill>
                          <w14:no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6" w14:textId="1FFA20C3" w:rsidR="003602E0" w:rsidRPr="00A93B07" w:rsidRDefault="00AE7B51" w:rsidP="00D3609A">
    <w:pPr>
      <w:pStyle w:val="HeaderOdd"/>
    </w:pPr>
    <w:r>
      <w:rPr>
        <w:noProof/>
      </w:rPr>
      <w:t xml:space="preserve">Table of </w:t>
    </w:r>
    <w:r w:rsidR="002335B5">
      <w:rPr>
        <w:noProof/>
      </w:rPr>
      <w:t>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ECAC" w14:textId="0664B90D" w:rsidR="00AC7BB8" w:rsidRDefault="00872A1D" w:rsidP="00441F50">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57ED" w14:textId="03A1119E" w:rsidR="008715D6" w:rsidRDefault="00872A1D" w:rsidP="00FE5C23">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4988" w14:textId="0F3A942C" w:rsidR="008715D6" w:rsidRPr="00A93B07" w:rsidRDefault="008715D6" w:rsidP="00D3609A">
    <w:pPr>
      <w:pStyle w:val="HeaderOdd"/>
    </w:pPr>
    <w:r>
      <w:rPr>
        <w:noProof/>
      </w:rPr>
      <w:fldChar w:fldCharType="begin"/>
    </w:r>
    <w:r>
      <w:rPr>
        <w:noProof/>
      </w:rPr>
      <w:instrText xml:space="preserve"> STYLEREF  "Heading 1" </w:instrText>
    </w:r>
    <w:r>
      <w:rPr>
        <w:noProof/>
      </w:rPr>
      <w:fldChar w:fldCharType="separate"/>
    </w:r>
    <w:r w:rsidR="00872A1D">
      <w:rPr>
        <w:noProof/>
      </w:rPr>
      <w:t>Part 2 – The Panel</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C045" w14:textId="04B83990" w:rsidR="008715D6" w:rsidRDefault="008715D6" w:rsidP="008715D6">
    <w:pPr>
      <w:pStyle w:val="HeaderOd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608E" w14:textId="02704035" w:rsidR="00AC7BB8" w:rsidRDefault="00872A1D" w:rsidP="003C73BE">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D00F" w14:textId="1E601CDF" w:rsidR="003C73BE" w:rsidRPr="00A93B07" w:rsidRDefault="003C73BE" w:rsidP="003C73BE">
    <w:pPr>
      <w:pStyle w:val="HeaderOdd"/>
    </w:pPr>
    <w:r>
      <w:rPr>
        <w:noProof/>
      </w:rPr>
      <w:fldChar w:fldCharType="begin"/>
    </w:r>
    <w:r>
      <w:rPr>
        <w:noProof/>
      </w:rPr>
      <w:instrText xml:space="preserve"> STYLEREF  "Heading 1" </w:instrText>
    </w:r>
    <w:r>
      <w:rPr>
        <w:noProof/>
      </w:rPr>
      <w:fldChar w:fldCharType="separate"/>
    </w:r>
    <w:r w:rsidR="00872A1D">
      <w:rPr>
        <w:noProof/>
      </w:rPr>
      <w:t>Part 4 – Performance Reporting</w:t>
    </w:r>
    <w:r>
      <w:rPr>
        <w:noProof/>
      </w:rPr>
      <w:fldChar w:fldCharType="end"/>
    </w:r>
  </w:p>
  <w:p w14:paraId="1FBC779D" w14:textId="0B2568ED" w:rsidR="00AC7BB8" w:rsidRDefault="00AC7B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B" w14:textId="01433A6F" w:rsidR="003602E0" w:rsidRDefault="003602E0" w:rsidP="00666211">
    <w:pPr>
      <w:pStyle w:val="HeaderOd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FCAF" w14:textId="60556F3C" w:rsidR="00666211" w:rsidRDefault="00872A1D" w:rsidP="00666211">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D" w14:textId="673F7F4A" w:rsidR="003602E0" w:rsidRPr="00666211" w:rsidRDefault="00666211" w:rsidP="00666211">
    <w:pPr>
      <w:pStyle w:val="HeaderOdd"/>
    </w:pPr>
    <w:r>
      <w:rPr>
        <w:noProof/>
      </w:rPr>
      <w:fldChar w:fldCharType="begin"/>
    </w:r>
    <w:r>
      <w:rPr>
        <w:noProof/>
      </w:rPr>
      <w:instrText xml:space="preserve"> STYLEREF  "Heading 1" </w:instrText>
    </w:r>
    <w:r>
      <w:rPr>
        <w:noProof/>
      </w:rPr>
      <w:fldChar w:fldCharType="separate"/>
    </w:r>
    <w:r w:rsidR="00872A1D">
      <w:rPr>
        <w:noProof/>
      </w:rPr>
      <w:t>Appendix 1 – Panel members</w:t>
    </w:r>
    <w:r>
      <w:rPr>
        <w:noProof/>
      </w:rPr>
      <w:fldChar w:fldCharType="end"/>
    </w:r>
    <w:r w:rsidR="005C1622">
      <w:rPr>
        <w:noProof/>
      </w:rPr>
      <mc:AlternateContent>
        <mc:Choice Requires="wps">
          <w:drawing>
            <wp:anchor distT="0" distB="0" distL="114300" distR="114300" simplePos="0" relativeHeight="251658243" behindDoc="0" locked="0" layoutInCell="1" allowOverlap="1" wp14:anchorId="279527CB" wp14:editId="4267BE1A">
              <wp:simplePos x="0" y="0"/>
              <wp:positionH relativeFrom="column">
                <wp:posOffset>7943215</wp:posOffset>
              </wp:positionH>
              <wp:positionV relativeFrom="margin">
                <wp:posOffset>-29210</wp:posOffset>
              </wp:positionV>
              <wp:extent cx="399415" cy="4968240"/>
              <wp:effectExtent l="0" t="0" r="0" b="0"/>
              <wp:wrapNone/>
              <wp:docPr id="17269835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68240"/>
                      </a:xfrm>
                      <a:prstGeom prst="rect">
                        <a:avLst/>
                      </a:prstGeom>
                      <a:solidFill>
                        <a:srgbClr val="FFFFFF"/>
                      </a:solidFill>
                      <a:ln>
                        <a:noFill/>
                      </a:ln>
                    </wps:spPr>
                    <wps:txbx>
                      <w:txbxContent>
                        <w:p w14:paraId="571C6E84" w14:textId="36C187B8" w:rsidR="003602E0" w:rsidRPr="00D3609A" w:rsidRDefault="003602E0" w:rsidP="00637681">
                          <w:pPr>
                            <w:jc w:val="right"/>
                            <w:rPr>
                              <w:rStyle w:val="FramedHeader"/>
                              <w:rFonts w:cs="Arial"/>
                              <w:b w:val="0"/>
                              <w:color w:val="1F497D" w:themeColor="text2"/>
                              <w:sz w:val="16"/>
                              <w:szCs w:val="16"/>
                            </w:rPr>
                          </w:pPr>
                          <w:r>
                            <w:rPr>
                              <w:rFonts w:ascii="Arial Bold" w:hAnsi="Arial Bold" w:cs="Arial"/>
                              <w:b/>
                              <w:color w:val="1F497D" w:themeColor="text2"/>
                              <w:sz w:val="16"/>
                              <w:szCs w:val="16"/>
                            </w:rPr>
                            <w:fldChar w:fldCharType="begin"/>
                          </w:r>
                          <w:r>
                            <w:rPr>
                              <w:rFonts w:ascii="Arial Bold" w:hAnsi="Arial Bold" w:cs="Arial"/>
                              <w:b/>
                              <w:color w:val="1F497D" w:themeColor="text2"/>
                              <w:sz w:val="16"/>
                              <w:szCs w:val="16"/>
                            </w:rPr>
                            <w:instrText xml:space="preserve"> STYLEREF  "Heading 1"  \* MERGEFORMAT </w:instrText>
                          </w:r>
                          <w:r>
                            <w:rPr>
                              <w:rFonts w:ascii="Arial Bold" w:hAnsi="Arial Bold" w:cs="Arial"/>
                              <w:b/>
                              <w:color w:val="1F497D" w:themeColor="text2"/>
                              <w:sz w:val="16"/>
                              <w:szCs w:val="16"/>
                            </w:rPr>
                            <w:fldChar w:fldCharType="separate"/>
                          </w:r>
                          <w:r w:rsidR="00872A1D">
                            <w:rPr>
                              <w:rFonts w:ascii="Arial Bold" w:hAnsi="Arial Bold" w:cs="Arial"/>
                              <w:b/>
                              <w:noProof/>
                              <w:color w:val="1F497D" w:themeColor="text2"/>
                              <w:sz w:val="16"/>
                              <w:szCs w:val="16"/>
                            </w:rPr>
                            <w:t>Appendix 1 – Panel members</w:t>
                          </w:r>
                          <w:r>
                            <w:rPr>
                              <w:rFonts w:ascii="Arial Bold" w:hAnsi="Arial Bold" w:cs="Arial"/>
                              <w:b/>
                              <w:color w:val="1F497D" w:themeColor="text2"/>
                              <w:sz w:val="16"/>
                              <w:szCs w:val="16"/>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27CB" id="_x0000_t202" coordsize="21600,21600" o:spt="202" path="m,l,21600r21600,l21600,xe">
              <v:stroke joinstyle="miter"/>
              <v:path gradientshapeok="t" o:connecttype="rect"/>
            </v:shapetype>
            <v:shape id="Text Box 3" o:spid="_x0000_s1029" type="#_x0000_t202" style="position:absolute;left:0;text-align:left;margin-left:625.45pt;margin-top:-2.3pt;width:31.45pt;height:39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" stroked="f">
              <v:textbox style="layout-flow:vertical">
                <w:txbxContent>
                  <w:p w14:paraId="571C6E84" w14:textId="36C187B8" w:rsidR="003602E0" w:rsidRPr="00D3609A" w:rsidRDefault="003602E0" w:rsidP="00637681">
                    <w:pPr>
                      <w:jc w:val="right"/>
                      <w:rPr>
                        <w:rStyle w:val="FramedHeader"/>
                        <w:rFonts w:cs="Arial"/>
                        <w:b w:val="0"/>
                        <w:color w:val="1F497D" w:themeColor="text2"/>
                        <w:sz w:val="16"/>
                        <w:szCs w:val="16"/>
                      </w:rPr>
                    </w:pPr>
                    <w:r>
                      <w:rPr>
                        <w:rFonts w:ascii="Arial Bold" w:hAnsi="Arial Bold" w:cs="Arial"/>
                        <w:b/>
                        <w:color w:val="1F497D" w:themeColor="text2"/>
                        <w:sz w:val="16"/>
                        <w:szCs w:val="16"/>
                      </w:rPr>
                      <w:fldChar w:fldCharType="begin"/>
                    </w:r>
                    <w:r>
                      <w:rPr>
                        <w:rFonts w:ascii="Arial Bold" w:hAnsi="Arial Bold" w:cs="Arial"/>
                        <w:b/>
                        <w:color w:val="1F497D" w:themeColor="text2"/>
                        <w:sz w:val="16"/>
                        <w:szCs w:val="16"/>
                      </w:rPr>
                      <w:instrText xml:space="preserve"> STYLEREF  "Heading 1"  \* MERGEFORMAT </w:instrText>
                    </w:r>
                    <w:r>
                      <w:rPr>
                        <w:rFonts w:ascii="Arial Bold" w:hAnsi="Arial Bold" w:cs="Arial"/>
                        <w:b/>
                        <w:color w:val="1F497D" w:themeColor="text2"/>
                        <w:sz w:val="16"/>
                        <w:szCs w:val="16"/>
                      </w:rPr>
                      <w:fldChar w:fldCharType="separate"/>
                    </w:r>
                    <w:r w:rsidR="00872A1D">
                      <w:rPr>
                        <w:rFonts w:ascii="Arial Bold" w:hAnsi="Arial Bold" w:cs="Arial"/>
                        <w:b/>
                        <w:noProof/>
                        <w:color w:val="1F497D" w:themeColor="text2"/>
                        <w:sz w:val="16"/>
                        <w:szCs w:val="16"/>
                      </w:rPr>
                      <w:t>Appendix 1 – Panel members</w:t>
                    </w:r>
                    <w:r>
                      <w:rPr>
                        <w:rFonts w:ascii="Arial Bold" w:hAnsi="Arial Bold" w:cs="Arial"/>
                        <w:b/>
                        <w:color w:val="1F497D" w:themeColor="text2"/>
                        <w:sz w:val="16"/>
                        <w:szCs w:val="16"/>
                      </w:rPr>
                      <w:fldChar w:fldCharType="end"/>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E1B3" w14:textId="2A947C99" w:rsidR="00554EDB" w:rsidRDefault="00554EDB">
    <w:pPr>
      <w:pStyle w:val="Header"/>
    </w:pPr>
    <w:r>
      <w:rPr>
        <w:noProof/>
      </w:rPr>
      <w:drawing>
        <wp:anchor distT="0" distB="0" distL="114300" distR="114300" simplePos="0" relativeHeight="251659267" behindDoc="1" locked="0" layoutInCell="1" allowOverlap="1" wp14:anchorId="32E53BBC" wp14:editId="2676AE68">
          <wp:simplePos x="0" y="0"/>
          <wp:positionH relativeFrom="column">
            <wp:posOffset>-2194</wp:posOffset>
          </wp:positionH>
          <wp:positionV relativeFrom="paragraph">
            <wp:posOffset>349803</wp:posOffset>
          </wp:positionV>
          <wp:extent cx="2381249" cy="542202"/>
          <wp:effectExtent l="0" t="0" r="635" b="0"/>
          <wp:wrapNone/>
          <wp:docPr id="1616923565" name="Picture 1616923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49" cy="542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0" w14:textId="175F734C" w:rsidR="003602E0" w:rsidRDefault="003602E0" w:rsidP="0033413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4" w14:textId="7E3B4A86" w:rsidR="003602E0" w:rsidRPr="007B3D98" w:rsidRDefault="00B52606" w:rsidP="007B3D98">
    <w:pPr>
      <w:pStyle w:val="Header"/>
    </w:pPr>
    <w:r>
      <w:rPr>
        <w:noProof/>
      </w:rPr>
      <mc:AlternateContent>
        <mc:Choice Requires="wps">
          <w:drawing>
            <wp:anchor distT="0" distB="0" distL="114300" distR="114300" simplePos="0" relativeHeight="251663363" behindDoc="0" locked="0" layoutInCell="1" allowOverlap="1" wp14:anchorId="43A6F41C" wp14:editId="48F98C4D">
              <wp:simplePos x="0" y="0"/>
              <wp:positionH relativeFrom="column">
                <wp:posOffset>7942580</wp:posOffset>
              </wp:positionH>
              <wp:positionV relativeFrom="margin">
                <wp:posOffset>-28575</wp:posOffset>
              </wp:positionV>
              <wp:extent cx="399600" cy="4849200"/>
              <wp:effectExtent l="0" t="0" r="635" b="8890"/>
              <wp:wrapNone/>
              <wp:docPr id="16741566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49200"/>
                      </a:xfrm>
                      <a:prstGeom prst="rect">
                        <a:avLst/>
                      </a:prstGeom>
                      <a:solidFill>
                        <a:srgbClr val="FFFFFF"/>
                      </a:solidFill>
                      <a:ln>
                        <a:noFill/>
                      </a:ln>
                    </wps:spPr>
                    <wps:txbx>
                      <w:txbxContent>
                        <w:p w14:paraId="213ECC6F" w14:textId="13AE5BCD" w:rsidR="00B52606" w:rsidRPr="00D3609A" w:rsidRDefault="00F3324A" w:rsidP="00B52606">
                          <w:pPr>
                            <w:rPr>
                              <w:rStyle w:val="FramedHeader"/>
                              <w:rFonts w:cs="Arial"/>
                              <w:b w:val="0"/>
                              <w:color w:val="1F497D" w:themeColor="text2"/>
                              <w:sz w:val="16"/>
                              <w:szCs w:val="16"/>
                            </w:rPr>
                          </w:pPr>
                          <w:r w:rsidRPr="00F3324A">
                            <w:rPr>
                              <w:rFonts w:ascii="Arial Bold" w:hAnsi="Arial Bold" w:cs="Arial"/>
                              <w:b/>
                              <w:color w:val="1F497D" w:themeColor="text2"/>
                              <w:sz w:val="16"/>
                              <w:szCs w:val="16"/>
                            </w:rPr>
                            <w:t>Takeovers Panel Annual Report 2023–24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6F41C" id="_x0000_t202" coordsize="21600,21600" o:spt="202" path="m,l,21600r21600,l21600,xe">
              <v:stroke joinstyle="miter"/>
              <v:path gradientshapeok="t" o:connecttype="rect"/>
            </v:shapetype>
            <v:shape id="_x0000_s1030" type="#_x0000_t202" style="position:absolute;margin-left:625.4pt;margin-top:-2.25pt;width:31.45pt;height:381.8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" stroked="f">
              <v:textbox style="layout-flow:vertical">
                <w:txbxContent>
                  <w:p w14:paraId="213ECC6F" w14:textId="13AE5BCD" w:rsidR="00B52606" w:rsidRPr="00D3609A" w:rsidRDefault="00F3324A" w:rsidP="00B52606">
                    <w:pPr>
                      <w:rPr>
                        <w:rStyle w:val="FramedHeader"/>
                        <w:rFonts w:cs="Arial"/>
                        <w:b w:val="0"/>
                        <w:color w:val="1F497D" w:themeColor="text2"/>
                        <w:sz w:val="16"/>
                        <w:szCs w:val="16"/>
                      </w:rPr>
                    </w:pPr>
                    <w:r w:rsidRPr="00F3324A">
                      <w:rPr>
                        <w:rFonts w:ascii="Arial Bold" w:hAnsi="Arial Bold" w:cs="Arial"/>
                        <w:b/>
                        <w:color w:val="1F497D" w:themeColor="text2"/>
                        <w:sz w:val="16"/>
                        <w:szCs w:val="16"/>
                      </w:rPr>
                      <w:t>Takeovers Panel Annual Report 2023–24</w:t>
                    </w:r>
                  </w:p>
                </w:txbxContent>
              </v:textbox>
              <w10:wrap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E17" w14:textId="1C6EFCDE" w:rsidR="00666211" w:rsidRPr="00666211" w:rsidRDefault="005C1622" w:rsidP="00666211">
    <w:pPr>
      <w:pStyle w:val="HeaderOdd"/>
    </w:pPr>
    <w:r>
      <w:rPr>
        <w:noProof/>
      </w:rPr>
      <mc:AlternateContent>
        <mc:Choice Requires="wps">
          <w:drawing>
            <wp:anchor distT="0" distB="0" distL="114300" distR="114300" simplePos="0" relativeHeight="251661315" behindDoc="0" locked="0" layoutInCell="1" allowOverlap="1" wp14:anchorId="76F28F21" wp14:editId="7A0A8F3D">
              <wp:simplePos x="0" y="0"/>
              <wp:positionH relativeFrom="column">
                <wp:posOffset>7943215</wp:posOffset>
              </wp:positionH>
              <wp:positionV relativeFrom="margin">
                <wp:posOffset>-29210</wp:posOffset>
              </wp:positionV>
              <wp:extent cx="399415" cy="4968240"/>
              <wp:effectExtent l="0" t="0" r="0" b="0"/>
              <wp:wrapNone/>
              <wp:docPr id="6385267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68240"/>
                      </a:xfrm>
                      <a:prstGeom prst="rect">
                        <a:avLst/>
                      </a:prstGeom>
                      <a:solidFill>
                        <a:srgbClr val="FFFFFF"/>
                      </a:solidFill>
                      <a:ln>
                        <a:noFill/>
                      </a:ln>
                    </wps:spPr>
                    <wps:txbx>
                      <w:txbxContent>
                        <w:p w14:paraId="4771DBD3" w14:textId="1DA42DEE" w:rsidR="00D47DD9" w:rsidRDefault="002C6A73" w:rsidP="00014805">
                          <w:pPr>
                            <w:pStyle w:val="HeaderOdd"/>
                          </w:pPr>
                          <w:fldSimple w:instr=" STYLEREF  &quot;Heading 1&quot;  \* MERGEFORMAT ">
                            <w:r w:rsidR="00872A1D">
                              <w:rPr>
                                <w:noProof/>
                              </w:rPr>
                              <w:t>Appendix 3 – Panel Applications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8F21" id="_x0000_t202" coordsize="21600,21600" o:spt="202" path="m,l,21600r21600,l21600,xe">
              <v:stroke joinstyle="miter"/>
              <v:path gradientshapeok="t" o:connecttype="rect"/>
            </v:shapetype>
            <v:shape id="_x0000_s1031" type="#_x0000_t202" style="position:absolute;left:0;text-align:left;margin-left:625.45pt;margin-top:-2.3pt;width:31.45pt;height:391.2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" stroked="f">
              <v:textbox style="layout-flow:vertical">
                <w:txbxContent>
                  <w:p w14:paraId="4771DBD3" w14:textId="1DA42DEE" w:rsidR="00D47DD9" w:rsidRDefault="002C6A73" w:rsidP="00014805">
                    <w:pPr>
                      <w:pStyle w:val="HeaderOdd"/>
                    </w:pPr>
                    <w:fldSimple w:instr=" STYLEREF  &quot;Heading 1&quot;  \* MERGEFORMAT ">
                      <w:r w:rsidR="00872A1D">
                        <w:rPr>
                          <w:noProof/>
                        </w:rPr>
                        <w:t>Appendix 3 – Panel Applications</w:t>
                      </w:r>
                    </w:fldSimple>
                  </w:p>
                </w:txbxContent>
              </v:textbox>
              <w10:wrap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9" w14:textId="1C4BA112" w:rsidR="003602E0" w:rsidRPr="00081E86" w:rsidRDefault="003602E0">
    <w:pPr>
      <w:framePr w:wrap="around" w:hAnchor="page" w:x="14460" w:yAlign="bottom" w:anchorLock="1"/>
      <w:textDirection w:val="tbRl"/>
      <w:rPr>
        <w:rStyle w:val="FramedHeader"/>
        <w:color w:val="1F497D" w:themeColor="text2"/>
      </w:rPr>
    </w:pPr>
  </w:p>
  <w:p w14:paraId="571C6E4A" w14:textId="1393D41E" w:rsidR="003602E0" w:rsidRPr="0017648F" w:rsidRDefault="003602E0" w:rsidP="00D3609A">
    <w:pPr>
      <w:pStyle w:val="Footer"/>
      <w:framePr w:h="96" w:hRule="exact" w:wrap="around" w:vAnchor="page" w:hAnchor="page" w:x="1889" w:y="9640" w:anchorLock="1"/>
      <w:textDirection w:val="tbRl"/>
      <w:rPr>
        <w:rStyle w:val="FramedFooter"/>
        <w:sz w:val="16"/>
      </w:rPr>
    </w:pPr>
    <w:r w:rsidRPr="0017648F">
      <w:rPr>
        <w:rStyle w:val="FramedFooter"/>
        <w:sz w:val="16"/>
      </w:rPr>
      <w:fldChar w:fldCharType="begin"/>
    </w:r>
    <w:r w:rsidRPr="0017648F">
      <w:rPr>
        <w:rStyle w:val="FramedFooter"/>
        <w:sz w:val="16"/>
      </w:rPr>
      <w:instrText xml:space="preserve">PAGE  </w:instrText>
    </w:r>
    <w:r w:rsidRPr="0017648F">
      <w:rPr>
        <w:rStyle w:val="FramedFooter"/>
        <w:sz w:val="16"/>
      </w:rPr>
      <w:fldChar w:fldCharType="separate"/>
    </w:r>
    <w:r>
      <w:rPr>
        <w:rStyle w:val="FramedFooter"/>
        <w:noProof/>
        <w:sz w:val="16"/>
      </w:rPr>
      <w:t>41</w:t>
    </w:r>
    <w:r w:rsidRPr="0017648F">
      <w:rPr>
        <w:rStyle w:val="FramedFooter"/>
        <w:sz w:val="16"/>
      </w:rPr>
      <w:fldChar w:fldCharType="end"/>
    </w:r>
  </w:p>
  <w:p w14:paraId="571C6E4B" w14:textId="77777777" w:rsidR="003602E0" w:rsidRDefault="003602E0" w:rsidP="0033413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C500" w14:textId="6D659BDC" w:rsidR="003C73BE" w:rsidRDefault="00872A1D" w:rsidP="003C73BE">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4D" w14:textId="596038AA" w:rsidR="003602E0" w:rsidRDefault="00666211" w:rsidP="008715D6">
    <w:pPr>
      <w:pStyle w:val="HeaderOdd"/>
      <w:rPr>
        <w:rFonts w:eastAsia="Batang"/>
        <w:lang w:val="en-GB"/>
      </w:rPr>
    </w:pPr>
    <w:r>
      <w:rPr>
        <w:noProof/>
      </w:rPr>
      <w:fldChar w:fldCharType="begin"/>
    </w:r>
    <w:r>
      <w:rPr>
        <w:noProof/>
      </w:rPr>
      <w:instrText xml:space="preserve"> STYLEREF  "Heading 1" </w:instrText>
    </w:r>
    <w:r>
      <w:rPr>
        <w:noProof/>
      </w:rPr>
      <w:fldChar w:fldCharType="separate"/>
    </w:r>
    <w:r w:rsidR="00F1212B">
      <w:rPr>
        <w:noProof/>
      </w:rPr>
      <w:t>Appendix 3 – Panel Applications</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50" w14:textId="2407D3AB" w:rsidR="003602E0" w:rsidRPr="00081E86" w:rsidRDefault="003602E0">
    <w:pPr>
      <w:framePr w:wrap="around" w:hAnchor="page" w:x="14460" w:yAlign="bottom" w:anchorLock="1"/>
      <w:textDirection w:val="tbRl"/>
      <w:rPr>
        <w:rStyle w:val="FramedHeader"/>
        <w:color w:val="1F497D" w:themeColor="text2"/>
      </w:rPr>
    </w:pPr>
  </w:p>
  <w:p w14:paraId="571C6E51" w14:textId="77777777" w:rsidR="003602E0" w:rsidRDefault="003602E0" w:rsidP="0033413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F923" w14:textId="728CF109" w:rsidR="00AC7BB8" w:rsidRDefault="00AC7BB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9305" w14:textId="3D2C9640" w:rsidR="00AC7BB8" w:rsidRDefault="00AC7BB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9B24" w14:textId="3C6D0383" w:rsidR="00AC7BB8" w:rsidRDefault="00AC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88FB" w14:textId="682D3D45" w:rsidR="00AC7BB8" w:rsidRDefault="00AC7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2428" w14:textId="6539743D" w:rsidR="00AC7BB8" w:rsidRDefault="00AC7B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2C" w14:textId="3C1DFB2B" w:rsidR="003602E0" w:rsidRPr="00334137" w:rsidRDefault="003602E0" w:rsidP="003341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0" w14:textId="10B103FE" w:rsidR="003602E0" w:rsidRDefault="00872A1D" w:rsidP="00FE5C23">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1" w14:textId="0B8297A7" w:rsidR="003602E0" w:rsidRPr="00A93B07" w:rsidRDefault="003602E0" w:rsidP="00D3609A">
    <w:pPr>
      <w:pStyle w:val="HeaderOdd"/>
    </w:pPr>
    <w:r>
      <w:rPr>
        <w:noProof/>
      </w:rPr>
      <w:fldChar w:fldCharType="begin"/>
    </w:r>
    <w:r>
      <w:rPr>
        <w:noProof/>
      </w:rPr>
      <w:instrText xml:space="preserve"> STYLEREF  "Contents Heading"  \* MERGEFORMAT </w:instrTex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E34" w14:textId="5AF0E7F8" w:rsidR="003602E0" w:rsidRDefault="003602E0" w:rsidP="008715D6">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6BB" w14:textId="2C470B0C" w:rsidR="00AC7BB8" w:rsidRDefault="00872A1D" w:rsidP="00441F50">
    <w:pPr>
      <w:pStyle w:val="HeaderEven"/>
    </w:pPr>
    <w:r>
      <w:fldChar w:fldCharType="begin"/>
    </w:r>
    <w:r>
      <w:instrText xml:space="preserve"> DOCPROPERTY  Title </w:instrText>
    </w:r>
    <w:r>
      <w:fldChar w:fldCharType="separate"/>
    </w:r>
    <w:r w:rsidR="00F1212B">
      <w:t>Takeovers Panel Annual Report 2023–24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F8A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785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87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65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E7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E46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7C2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81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7259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7C8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7F1E"/>
    <w:multiLevelType w:val="multilevel"/>
    <w:tmpl w:val="AB50A7C4"/>
    <w:lvl w:ilvl="0">
      <w:start w:val="1"/>
      <w:numFmt w:val="lowerLetter"/>
      <w:lvlRestart w:val="0"/>
      <w:lvlText w:val="(%1)"/>
      <w:lvlJc w:val="left"/>
      <w:pPr>
        <w:tabs>
          <w:tab w:val="num" w:pos="283"/>
        </w:tabs>
        <w:ind w:left="283" w:hanging="283"/>
      </w:pPr>
      <w:rPr>
        <w:rFonts w:ascii="Arial" w:hAnsi="Arial" w:cs="Arial"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C42909"/>
    <w:multiLevelType w:val="multilevel"/>
    <w:tmpl w:val="753AC1FE"/>
    <w:name w:val="StandardBulletedList_"/>
    <w:lvl w:ilvl="0">
      <w:start w:val="1"/>
      <w:numFmt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0FDA4DC9"/>
    <w:multiLevelType w:val="multilevel"/>
    <w:tmpl w:val="DBF62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B70232"/>
    <w:multiLevelType w:val="hybridMultilevel"/>
    <w:tmpl w:val="E334D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5" w15:restartNumberingAfterBreak="0">
    <w:nsid w:val="19C960FD"/>
    <w:multiLevelType w:val="multilevel"/>
    <w:tmpl w:val="4D9CCDFA"/>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6" w15:restartNumberingAfterBreak="0">
    <w:nsid w:val="244237C5"/>
    <w:multiLevelType w:val="multilevel"/>
    <w:tmpl w:val="3B14C7BE"/>
    <w:lvl w:ilvl="0">
      <w:start w:val="1"/>
      <w:numFmt w:val="decimal"/>
      <w:lvlRestart w:val="0"/>
      <w:pStyle w:val="Headinglevel5alpha"/>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265B1B49"/>
    <w:multiLevelType w:val="multilevel"/>
    <w:tmpl w:val="55B093F8"/>
    <w:name w:val="AGSHang"/>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8" w15:restartNumberingAfterBreak="0">
    <w:nsid w:val="28934A6B"/>
    <w:multiLevelType w:val="multilevel"/>
    <w:tmpl w:val="0F9EA0A8"/>
    <w:name w:val="AGSQuote"/>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9" w15:restartNumberingAfterBreak="0">
    <w:nsid w:val="3BD6394F"/>
    <w:multiLevelType w:val="hybridMultilevel"/>
    <w:tmpl w:val="7C2AF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64128"/>
    <w:multiLevelType w:val="multilevel"/>
    <w:tmpl w:val="D902AE1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6C280C"/>
    <w:multiLevelType w:val="hybridMultilevel"/>
    <w:tmpl w:val="57D4BDE0"/>
    <w:lvl w:ilvl="0" w:tplc="6B8A0258">
      <w:start w:val="1"/>
      <w:numFmt w:val="lowerLetter"/>
      <w:lvlRestart w:val="0"/>
      <w:pStyle w:val="Heading5Alpha"/>
      <w:lvlText w:val="%1)"/>
      <w:lvlJc w:val="left"/>
      <w:pPr>
        <w:tabs>
          <w:tab w:val="num" w:pos="852"/>
        </w:tabs>
        <w:ind w:left="852" w:hanging="284"/>
      </w:pPr>
      <w:rPr>
        <w:rFonts w:ascii="Arial Bold" w:hAnsi="Arial Bold" w:cs="Arial"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8101827"/>
    <w:multiLevelType w:val="multilevel"/>
    <w:tmpl w:val="099E3DEE"/>
    <w:lvl w:ilvl="0">
      <w:start w:val="1"/>
      <w:numFmt w:val="bullet"/>
      <w:lvlRestart w:val="0"/>
      <w:pStyle w:val="BoxBullet"/>
      <w:lvlText w:val="•"/>
      <w:lvlJc w:val="left"/>
      <w:pPr>
        <w:tabs>
          <w:tab w:val="num" w:pos="283"/>
        </w:tabs>
        <w:ind w:left="283" w:hanging="283"/>
      </w:pPr>
      <w:rPr>
        <w:rFonts w:ascii="Book Antiqua" w:hAnsi="Book Antiqua"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5AA23188"/>
    <w:multiLevelType w:val="singleLevel"/>
    <w:tmpl w:val="4F2A5786"/>
    <w:name w:val="ChartTableFootnoteAlpha"/>
    <w:lvl w:ilvl="0">
      <w:start w:val="1"/>
      <w:numFmt w:val="lowerLetter"/>
      <w:lvlRestart w:val="0"/>
      <w:lvlText w:val="(%1)"/>
      <w:lvlJc w:val="left"/>
      <w:pPr>
        <w:tabs>
          <w:tab w:val="num" w:pos="1134"/>
        </w:tabs>
        <w:ind w:left="1134" w:hanging="567"/>
      </w:pPr>
      <w:rPr>
        <w:rFonts w:ascii="Arial" w:hAnsi="Arial" w:cs="Arial"/>
        <w:b/>
        <w:i w:val="0"/>
        <w:color w:val="FF0000"/>
        <w:sz w:val="20"/>
      </w:rPr>
    </w:lvl>
  </w:abstractNum>
  <w:abstractNum w:abstractNumId="24" w15:restartNumberingAfterBreak="0">
    <w:nsid w:val="5E0A6F8D"/>
    <w:multiLevelType w:val="multilevel"/>
    <w:tmpl w:val="51941ED6"/>
    <w:lvl w:ilvl="0">
      <w:start w:val="1"/>
      <w:numFmt w:val="bullet"/>
      <w:lvlRestart w:val="0"/>
      <w:pStyle w:val="RecommendationDash"/>
      <w:lvlText w:val="•"/>
      <w:lvlJc w:val="left"/>
      <w:pPr>
        <w:tabs>
          <w:tab w:val="num" w:pos="283"/>
        </w:tabs>
        <w:ind w:left="283" w:hanging="283"/>
      </w:pPr>
      <w:rPr>
        <w:b w:val="0"/>
        <w:i w:val="0"/>
      </w:rPr>
    </w:lvl>
    <w:lvl w:ilvl="1">
      <w:start w:val="1"/>
      <w:numFmt w:val="bullet"/>
      <w:pStyle w:val="RecommendationDoubleDo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70AF3AD7"/>
    <w:multiLevelType w:val="multilevel"/>
    <w:tmpl w:val="3F82CEB0"/>
    <w:lvl w:ilvl="0">
      <w:start w:val="1"/>
      <w:numFmt w:val="bullet"/>
      <w:lvlRestart w:val="0"/>
      <w:pStyle w:val="Bullet"/>
      <w:lvlText w:val="•"/>
      <w:lvlJc w:val="left"/>
      <w:pPr>
        <w:tabs>
          <w:tab w:val="num" w:pos="4678"/>
        </w:tabs>
        <w:ind w:left="4678" w:hanging="283"/>
      </w:pPr>
      <w:rPr>
        <w:rFonts w:ascii="Book Antiqua" w:hAnsi="Book Antiqua" w:hint="default"/>
        <w:b w:val="0"/>
        <w:i w:val="0"/>
        <w:color w:val="auto"/>
        <w:sz w:val="21"/>
      </w:rPr>
    </w:lvl>
    <w:lvl w:ilvl="1">
      <w:start w:val="1"/>
      <w:numFmt w:val="bullet"/>
      <w:pStyle w:val="Dash"/>
      <w:lvlText w:val="–"/>
      <w:lvlJc w:val="left"/>
      <w:pPr>
        <w:tabs>
          <w:tab w:val="num" w:pos="-1134"/>
        </w:tabs>
        <w:ind w:left="-1134" w:hanging="284"/>
      </w:pPr>
      <w:rPr>
        <w:rFonts w:ascii="Times New Roman" w:hAnsi="Times New Roman" w:cs="Times New Roman" w:hint="default"/>
        <w:b w:val="0"/>
        <w:i w:val="0"/>
      </w:rPr>
    </w:lvl>
    <w:lvl w:ilvl="2">
      <w:start w:val="1"/>
      <w:numFmt w:val="bullet"/>
      <w:pStyle w:val="DoubleDot"/>
      <w:lvlText w:val=":"/>
      <w:lvlJc w:val="left"/>
      <w:pPr>
        <w:tabs>
          <w:tab w:val="num" w:pos="-851"/>
        </w:tabs>
        <w:ind w:left="-851" w:hanging="283"/>
      </w:pPr>
      <w:rPr>
        <w:rFonts w:ascii="Times New Roman" w:hAnsi="Times New Roman" w:cs="Times New Roman" w:hint="default"/>
        <w:b w:val="0"/>
        <w:i w:val="0"/>
      </w:rPr>
    </w:lvl>
    <w:lvl w:ilvl="3">
      <w:start w:val="1"/>
      <w:numFmt w:val="decimal"/>
      <w:lvlText w:val="(%4)"/>
      <w:lvlJc w:val="left"/>
      <w:pPr>
        <w:tabs>
          <w:tab w:val="num" w:pos="-828"/>
        </w:tabs>
        <w:ind w:left="-828" w:hanging="360"/>
      </w:pPr>
      <w:rPr>
        <w:rFonts w:hint="default"/>
        <w:b w:val="0"/>
        <w:i w:val="0"/>
      </w:rPr>
    </w:lvl>
    <w:lvl w:ilvl="4">
      <w:start w:val="1"/>
      <w:numFmt w:val="lowerLetter"/>
      <w:lvlText w:val="(%5)"/>
      <w:lvlJc w:val="left"/>
      <w:pPr>
        <w:tabs>
          <w:tab w:val="num" w:pos="-468"/>
        </w:tabs>
        <w:ind w:left="-468" w:hanging="360"/>
      </w:pPr>
      <w:rPr>
        <w:rFonts w:hint="default"/>
        <w:b w:val="0"/>
        <w:i w:val="0"/>
      </w:rPr>
    </w:lvl>
    <w:lvl w:ilvl="5">
      <w:start w:val="1"/>
      <w:numFmt w:val="lowerRoman"/>
      <w:lvlText w:val="(%6)"/>
      <w:lvlJc w:val="left"/>
      <w:pPr>
        <w:tabs>
          <w:tab w:val="num" w:pos="-108"/>
        </w:tabs>
        <w:ind w:left="-108" w:hanging="360"/>
      </w:pPr>
      <w:rPr>
        <w:rFonts w:hint="default"/>
        <w:b w:val="0"/>
        <w:i w:val="0"/>
      </w:rPr>
    </w:lvl>
    <w:lvl w:ilvl="6">
      <w:start w:val="1"/>
      <w:numFmt w:val="decimal"/>
      <w:lvlText w:val="%7."/>
      <w:lvlJc w:val="left"/>
      <w:pPr>
        <w:tabs>
          <w:tab w:val="num" w:pos="252"/>
        </w:tabs>
        <w:ind w:left="252" w:hanging="360"/>
      </w:pPr>
      <w:rPr>
        <w:rFonts w:hint="default"/>
        <w:b w:val="0"/>
        <w:i w:val="0"/>
      </w:rPr>
    </w:lvl>
    <w:lvl w:ilvl="7">
      <w:start w:val="1"/>
      <w:numFmt w:val="lowerLetter"/>
      <w:lvlText w:val="%8."/>
      <w:lvlJc w:val="left"/>
      <w:pPr>
        <w:tabs>
          <w:tab w:val="num" w:pos="612"/>
        </w:tabs>
        <w:ind w:left="612" w:hanging="360"/>
      </w:pPr>
      <w:rPr>
        <w:rFonts w:hint="default"/>
        <w:b w:val="0"/>
        <w:i w:val="0"/>
      </w:rPr>
    </w:lvl>
    <w:lvl w:ilvl="8">
      <w:start w:val="1"/>
      <w:numFmt w:val="lowerRoman"/>
      <w:lvlText w:val="%9."/>
      <w:lvlJc w:val="left"/>
      <w:pPr>
        <w:tabs>
          <w:tab w:val="num" w:pos="972"/>
        </w:tabs>
        <w:ind w:left="972" w:hanging="360"/>
      </w:pPr>
      <w:rPr>
        <w:rFonts w:hint="default"/>
        <w:b w:val="0"/>
        <w:i w:val="0"/>
      </w:rPr>
    </w:lvl>
  </w:abstractNum>
  <w:num w:numId="1">
    <w:abstractNumId w:val="22"/>
  </w:num>
  <w:num w:numId="2">
    <w:abstractNumId w:val="15"/>
  </w:num>
  <w:num w:numId="3">
    <w:abstractNumId w:val="16"/>
  </w:num>
  <w:num w:numId="4">
    <w:abstractNumId w:val="24"/>
  </w:num>
  <w:num w:numId="5">
    <w:abstractNumId w:val="25"/>
  </w:num>
  <w:num w:numId="6">
    <w:abstractNumId w:val="21"/>
  </w:num>
  <w:num w:numId="7">
    <w:abstractNumId w:val="10"/>
  </w:num>
  <w:num w:numId="8">
    <w:abstractNumId w:val="20"/>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12"/>
  </w:num>
  <w:num w:numId="20">
    <w:abstractNumId w:val="13"/>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0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D472D8-2BC7-4F40-B993-18BFA1633366}"/>
    <w:docVar w:name="dgnword-eventsink" w:val="98817712"/>
  </w:docVars>
  <w:rsids>
    <w:rsidRoot w:val="00FD516F"/>
    <w:rsid w:val="00000701"/>
    <w:rsid w:val="00000E98"/>
    <w:rsid w:val="00003007"/>
    <w:rsid w:val="00003015"/>
    <w:rsid w:val="00003AA5"/>
    <w:rsid w:val="00003DC7"/>
    <w:rsid w:val="0000405E"/>
    <w:rsid w:val="00004E18"/>
    <w:rsid w:val="000053B2"/>
    <w:rsid w:val="00007A4B"/>
    <w:rsid w:val="00010AA0"/>
    <w:rsid w:val="00010ABC"/>
    <w:rsid w:val="00010EDB"/>
    <w:rsid w:val="00011C62"/>
    <w:rsid w:val="00011DC1"/>
    <w:rsid w:val="00012664"/>
    <w:rsid w:val="000126A7"/>
    <w:rsid w:val="000129CA"/>
    <w:rsid w:val="00012C9C"/>
    <w:rsid w:val="0001371F"/>
    <w:rsid w:val="00014805"/>
    <w:rsid w:val="00015217"/>
    <w:rsid w:val="00015C62"/>
    <w:rsid w:val="00016652"/>
    <w:rsid w:val="00016FC2"/>
    <w:rsid w:val="00020AD1"/>
    <w:rsid w:val="00020F61"/>
    <w:rsid w:val="00021838"/>
    <w:rsid w:val="00021972"/>
    <w:rsid w:val="00021B2A"/>
    <w:rsid w:val="00022390"/>
    <w:rsid w:val="00023BF7"/>
    <w:rsid w:val="0002478C"/>
    <w:rsid w:val="00024BA9"/>
    <w:rsid w:val="00024F09"/>
    <w:rsid w:val="00024FA5"/>
    <w:rsid w:val="000252D1"/>
    <w:rsid w:val="00025759"/>
    <w:rsid w:val="00025FCF"/>
    <w:rsid w:val="00026A47"/>
    <w:rsid w:val="0003050D"/>
    <w:rsid w:val="000307EA"/>
    <w:rsid w:val="00030CD6"/>
    <w:rsid w:val="0003199B"/>
    <w:rsid w:val="00031FB8"/>
    <w:rsid w:val="0003250A"/>
    <w:rsid w:val="0003286A"/>
    <w:rsid w:val="000335D6"/>
    <w:rsid w:val="0003409C"/>
    <w:rsid w:val="000353B7"/>
    <w:rsid w:val="0003547B"/>
    <w:rsid w:val="0003569D"/>
    <w:rsid w:val="0003618F"/>
    <w:rsid w:val="00036EDF"/>
    <w:rsid w:val="000374EE"/>
    <w:rsid w:val="00037F05"/>
    <w:rsid w:val="0004017C"/>
    <w:rsid w:val="00040B6D"/>
    <w:rsid w:val="00040D14"/>
    <w:rsid w:val="000416C7"/>
    <w:rsid w:val="00042275"/>
    <w:rsid w:val="000428A2"/>
    <w:rsid w:val="0004389D"/>
    <w:rsid w:val="000439F7"/>
    <w:rsid w:val="00044EB8"/>
    <w:rsid w:val="000453F9"/>
    <w:rsid w:val="00046086"/>
    <w:rsid w:val="0004685E"/>
    <w:rsid w:val="000470A2"/>
    <w:rsid w:val="00047178"/>
    <w:rsid w:val="00047B05"/>
    <w:rsid w:val="000505A5"/>
    <w:rsid w:val="000510F8"/>
    <w:rsid w:val="0005163B"/>
    <w:rsid w:val="00052DAA"/>
    <w:rsid w:val="0005314A"/>
    <w:rsid w:val="0005352A"/>
    <w:rsid w:val="000548F9"/>
    <w:rsid w:val="00054B2E"/>
    <w:rsid w:val="00054DE7"/>
    <w:rsid w:val="00055124"/>
    <w:rsid w:val="000566FC"/>
    <w:rsid w:val="00057C6D"/>
    <w:rsid w:val="00060E19"/>
    <w:rsid w:val="000618AC"/>
    <w:rsid w:val="000618FD"/>
    <w:rsid w:val="000619C3"/>
    <w:rsid w:val="000629B1"/>
    <w:rsid w:val="00062CB1"/>
    <w:rsid w:val="00063789"/>
    <w:rsid w:val="00064BBF"/>
    <w:rsid w:val="00064BD0"/>
    <w:rsid w:val="00065870"/>
    <w:rsid w:val="00065C8A"/>
    <w:rsid w:val="00065E72"/>
    <w:rsid w:val="00067A9C"/>
    <w:rsid w:val="00067F56"/>
    <w:rsid w:val="0007107D"/>
    <w:rsid w:val="0007235A"/>
    <w:rsid w:val="00074706"/>
    <w:rsid w:val="000750CD"/>
    <w:rsid w:val="00075510"/>
    <w:rsid w:val="00075802"/>
    <w:rsid w:val="00075D6C"/>
    <w:rsid w:val="00076B7D"/>
    <w:rsid w:val="00076C31"/>
    <w:rsid w:val="00077C66"/>
    <w:rsid w:val="000803E4"/>
    <w:rsid w:val="000803EE"/>
    <w:rsid w:val="00081D01"/>
    <w:rsid w:val="00081E86"/>
    <w:rsid w:val="00081F31"/>
    <w:rsid w:val="000822AA"/>
    <w:rsid w:val="00082C9B"/>
    <w:rsid w:val="0008380A"/>
    <w:rsid w:val="00083B40"/>
    <w:rsid w:val="00084D45"/>
    <w:rsid w:val="00085A73"/>
    <w:rsid w:val="00086067"/>
    <w:rsid w:val="00086479"/>
    <w:rsid w:val="0008711A"/>
    <w:rsid w:val="0008749B"/>
    <w:rsid w:val="00091360"/>
    <w:rsid w:val="00093085"/>
    <w:rsid w:val="00094B96"/>
    <w:rsid w:val="00094CAC"/>
    <w:rsid w:val="000950D1"/>
    <w:rsid w:val="00096E88"/>
    <w:rsid w:val="00097B83"/>
    <w:rsid w:val="000A0159"/>
    <w:rsid w:val="000A0373"/>
    <w:rsid w:val="000A0E5A"/>
    <w:rsid w:val="000A1152"/>
    <w:rsid w:val="000A1165"/>
    <w:rsid w:val="000A1EC5"/>
    <w:rsid w:val="000A2836"/>
    <w:rsid w:val="000A2EBF"/>
    <w:rsid w:val="000A2F14"/>
    <w:rsid w:val="000A343F"/>
    <w:rsid w:val="000A3758"/>
    <w:rsid w:val="000A4344"/>
    <w:rsid w:val="000A49A6"/>
    <w:rsid w:val="000A58E5"/>
    <w:rsid w:val="000A7AD9"/>
    <w:rsid w:val="000B02B3"/>
    <w:rsid w:val="000B04CD"/>
    <w:rsid w:val="000B074B"/>
    <w:rsid w:val="000B1B62"/>
    <w:rsid w:val="000B1C1C"/>
    <w:rsid w:val="000B22F8"/>
    <w:rsid w:val="000B27FB"/>
    <w:rsid w:val="000B2C2D"/>
    <w:rsid w:val="000B32C2"/>
    <w:rsid w:val="000B3E23"/>
    <w:rsid w:val="000B4854"/>
    <w:rsid w:val="000B51CD"/>
    <w:rsid w:val="000B5316"/>
    <w:rsid w:val="000B5481"/>
    <w:rsid w:val="000B5593"/>
    <w:rsid w:val="000B7394"/>
    <w:rsid w:val="000B7593"/>
    <w:rsid w:val="000B7868"/>
    <w:rsid w:val="000C0C0E"/>
    <w:rsid w:val="000C110B"/>
    <w:rsid w:val="000C22DA"/>
    <w:rsid w:val="000C2521"/>
    <w:rsid w:val="000C2C4A"/>
    <w:rsid w:val="000C3128"/>
    <w:rsid w:val="000C3681"/>
    <w:rsid w:val="000C37D0"/>
    <w:rsid w:val="000C3ECD"/>
    <w:rsid w:val="000C445F"/>
    <w:rsid w:val="000C68C3"/>
    <w:rsid w:val="000C69D4"/>
    <w:rsid w:val="000C7107"/>
    <w:rsid w:val="000C7775"/>
    <w:rsid w:val="000D01A2"/>
    <w:rsid w:val="000D0318"/>
    <w:rsid w:val="000D039F"/>
    <w:rsid w:val="000D0AE6"/>
    <w:rsid w:val="000D1D69"/>
    <w:rsid w:val="000D3EC0"/>
    <w:rsid w:val="000D43FB"/>
    <w:rsid w:val="000D4D0C"/>
    <w:rsid w:val="000D5ACB"/>
    <w:rsid w:val="000D6BE1"/>
    <w:rsid w:val="000D7849"/>
    <w:rsid w:val="000D7F85"/>
    <w:rsid w:val="000E0A2B"/>
    <w:rsid w:val="000E282D"/>
    <w:rsid w:val="000E2AE8"/>
    <w:rsid w:val="000E2F39"/>
    <w:rsid w:val="000E5424"/>
    <w:rsid w:val="000E553E"/>
    <w:rsid w:val="000E5AA8"/>
    <w:rsid w:val="000E5D2C"/>
    <w:rsid w:val="000E6495"/>
    <w:rsid w:val="000F0C83"/>
    <w:rsid w:val="000F1161"/>
    <w:rsid w:val="000F1E37"/>
    <w:rsid w:val="000F277C"/>
    <w:rsid w:val="000F431F"/>
    <w:rsid w:val="000F4C4A"/>
    <w:rsid w:val="000F4D2E"/>
    <w:rsid w:val="000F4F47"/>
    <w:rsid w:val="000F5391"/>
    <w:rsid w:val="000F5593"/>
    <w:rsid w:val="000F59D0"/>
    <w:rsid w:val="000F5B32"/>
    <w:rsid w:val="000F70C5"/>
    <w:rsid w:val="00100346"/>
    <w:rsid w:val="00100923"/>
    <w:rsid w:val="001009C4"/>
    <w:rsid w:val="00100E3B"/>
    <w:rsid w:val="001010FA"/>
    <w:rsid w:val="00101288"/>
    <w:rsid w:val="001021F8"/>
    <w:rsid w:val="001027FA"/>
    <w:rsid w:val="0010283F"/>
    <w:rsid w:val="00102C9C"/>
    <w:rsid w:val="00103165"/>
    <w:rsid w:val="001042E3"/>
    <w:rsid w:val="00104333"/>
    <w:rsid w:val="0010471F"/>
    <w:rsid w:val="001048E2"/>
    <w:rsid w:val="0010503D"/>
    <w:rsid w:val="001050C4"/>
    <w:rsid w:val="0010527D"/>
    <w:rsid w:val="001061AF"/>
    <w:rsid w:val="00106449"/>
    <w:rsid w:val="00106536"/>
    <w:rsid w:val="0010671B"/>
    <w:rsid w:val="00107B3E"/>
    <w:rsid w:val="00107EF7"/>
    <w:rsid w:val="0011014A"/>
    <w:rsid w:val="00110588"/>
    <w:rsid w:val="001105FB"/>
    <w:rsid w:val="00110B9B"/>
    <w:rsid w:val="00110CFD"/>
    <w:rsid w:val="00110D80"/>
    <w:rsid w:val="001110DB"/>
    <w:rsid w:val="001112F7"/>
    <w:rsid w:val="00111B51"/>
    <w:rsid w:val="00111D9B"/>
    <w:rsid w:val="00112688"/>
    <w:rsid w:val="0011279A"/>
    <w:rsid w:val="00113B78"/>
    <w:rsid w:val="00114656"/>
    <w:rsid w:val="00114961"/>
    <w:rsid w:val="00114EB8"/>
    <w:rsid w:val="00115837"/>
    <w:rsid w:val="00115AE1"/>
    <w:rsid w:val="0011634B"/>
    <w:rsid w:val="00121277"/>
    <w:rsid w:val="00121CE9"/>
    <w:rsid w:val="00121D53"/>
    <w:rsid w:val="001224B7"/>
    <w:rsid w:val="00123F99"/>
    <w:rsid w:val="00124D70"/>
    <w:rsid w:val="00125149"/>
    <w:rsid w:val="001258A5"/>
    <w:rsid w:val="00126009"/>
    <w:rsid w:val="0012605C"/>
    <w:rsid w:val="001260FE"/>
    <w:rsid w:val="00126E8D"/>
    <w:rsid w:val="00126F3E"/>
    <w:rsid w:val="001271BF"/>
    <w:rsid w:val="001271C3"/>
    <w:rsid w:val="00127596"/>
    <w:rsid w:val="0012760A"/>
    <w:rsid w:val="001303A6"/>
    <w:rsid w:val="001306C7"/>
    <w:rsid w:val="0013098B"/>
    <w:rsid w:val="00130CA7"/>
    <w:rsid w:val="00131BA9"/>
    <w:rsid w:val="001324C3"/>
    <w:rsid w:val="00140640"/>
    <w:rsid w:val="00141B12"/>
    <w:rsid w:val="0014288C"/>
    <w:rsid w:val="00142A44"/>
    <w:rsid w:val="00142C20"/>
    <w:rsid w:val="00142C68"/>
    <w:rsid w:val="001433A6"/>
    <w:rsid w:val="001435AB"/>
    <w:rsid w:val="0014361A"/>
    <w:rsid w:val="00143D3D"/>
    <w:rsid w:val="001440A0"/>
    <w:rsid w:val="00144F80"/>
    <w:rsid w:val="00145F94"/>
    <w:rsid w:val="00146E11"/>
    <w:rsid w:val="00147181"/>
    <w:rsid w:val="00147694"/>
    <w:rsid w:val="001478F5"/>
    <w:rsid w:val="00151C2C"/>
    <w:rsid w:val="00152DF6"/>
    <w:rsid w:val="00153348"/>
    <w:rsid w:val="00153A8D"/>
    <w:rsid w:val="001545C1"/>
    <w:rsid w:val="00155361"/>
    <w:rsid w:val="0015603D"/>
    <w:rsid w:val="001562ED"/>
    <w:rsid w:val="00156919"/>
    <w:rsid w:val="00156E07"/>
    <w:rsid w:val="00157335"/>
    <w:rsid w:val="00157732"/>
    <w:rsid w:val="00160E37"/>
    <w:rsid w:val="001612B5"/>
    <w:rsid w:val="00161B7A"/>
    <w:rsid w:val="00161C6C"/>
    <w:rsid w:val="00161D1A"/>
    <w:rsid w:val="00163E82"/>
    <w:rsid w:val="00164789"/>
    <w:rsid w:val="00165014"/>
    <w:rsid w:val="00165B0F"/>
    <w:rsid w:val="00166848"/>
    <w:rsid w:val="00167374"/>
    <w:rsid w:val="00167DD6"/>
    <w:rsid w:val="0017188C"/>
    <w:rsid w:val="001719FF"/>
    <w:rsid w:val="001722E5"/>
    <w:rsid w:val="00172EA4"/>
    <w:rsid w:val="00173282"/>
    <w:rsid w:val="001740FE"/>
    <w:rsid w:val="001747B8"/>
    <w:rsid w:val="00174AF6"/>
    <w:rsid w:val="00174B2F"/>
    <w:rsid w:val="00174B79"/>
    <w:rsid w:val="00174CCE"/>
    <w:rsid w:val="00174D4A"/>
    <w:rsid w:val="00174ED4"/>
    <w:rsid w:val="00175AF8"/>
    <w:rsid w:val="00175D8D"/>
    <w:rsid w:val="0017604F"/>
    <w:rsid w:val="0017648F"/>
    <w:rsid w:val="00176F4F"/>
    <w:rsid w:val="001773E4"/>
    <w:rsid w:val="001801C0"/>
    <w:rsid w:val="001802BF"/>
    <w:rsid w:val="00180301"/>
    <w:rsid w:val="00182870"/>
    <w:rsid w:val="00182BD1"/>
    <w:rsid w:val="00183A46"/>
    <w:rsid w:val="00183B64"/>
    <w:rsid w:val="00186972"/>
    <w:rsid w:val="00186CA7"/>
    <w:rsid w:val="00187D22"/>
    <w:rsid w:val="00190EDD"/>
    <w:rsid w:val="00191BB9"/>
    <w:rsid w:val="001928A4"/>
    <w:rsid w:val="00192D13"/>
    <w:rsid w:val="00192E48"/>
    <w:rsid w:val="00192E93"/>
    <w:rsid w:val="0019313C"/>
    <w:rsid w:val="00193745"/>
    <w:rsid w:val="001937F4"/>
    <w:rsid w:val="001941DD"/>
    <w:rsid w:val="001950CC"/>
    <w:rsid w:val="00195A7A"/>
    <w:rsid w:val="001975BB"/>
    <w:rsid w:val="001A06B8"/>
    <w:rsid w:val="001A1927"/>
    <w:rsid w:val="001A1CE4"/>
    <w:rsid w:val="001A3898"/>
    <w:rsid w:val="001A3AD1"/>
    <w:rsid w:val="001A3E00"/>
    <w:rsid w:val="001A4A4F"/>
    <w:rsid w:val="001A4C20"/>
    <w:rsid w:val="001A5469"/>
    <w:rsid w:val="001A54CF"/>
    <w:rsid w:val="001A7011"/>
    <w:rsid w:val="001A7BB5"/>
    <w:rsid w:val="001A7F0A"/>
    <w:rsid w:val="001B023B"/>
    <w:rsid w:val="001B02A7"/>
    <w:rsid w:val="001B0B5F"/>
    <w:rsid w:val="001B0C59"/>
    <w:rsid w:val="001B22E5"/>
    <w:rsid w:val="001B2403"/>
    <w:rsid w:val="001B361B"/>
    <w:rsid w:val="001B3CA8"/>
    <w:rsid w:val="001B4A97"/>
    <w:rsid w:val="001B4BED"/>
    <w:rsid w:val="001B4D41"/>
    <w:rsid w:val="001B5815"/>
    <w:rsid w:val="001B6876"/>
    <w:rsid w:val="001B795C"/>
    <w:rsid w:val="001B79F1"/>
    <w:rsid w:val="001B7A78"/>
    <w:rsid w:val="001B7B19"/>
    <w:rsid w:val="001B7BCD"/>
    <w:rsid w:val="001B7FF6"/>
    <w:rsid w:val="001C1555"/>
    <w:rsid w:val="001C1BDF"/>
    <w:rsid w:val="001C207F"/>
    <w:rsid w:val="001C3E12"/>
    <w:rsid w:val="001C409E"/>
    <w:rsid w:val="001C45E5"/>
    <w:rsid w:val="001C4F0D"/>
    <w:rsid w:val="001C5BAE"/>
    <w:rsid w:val="001C62F1"/>
    <w:rsid w:val="001C6539"/>
    <w:rsid w:val="001C726F"/>
    <w:rsid w:val="001C73FF"/>
    <w:rsid w:val="001D00A4"/>
    <w:rsid w:val="001D044B"/>
    <w:rsid w:val="001D0A34"/>
    <w:rsid w:val="001D1283"/>
    <w:rsid w:val="001D1BB8"/>
    <w:rsid w:val="001D1BC1"/>
    <w:rsid w:val="001D35FE"/>
    <w:rsid w:val="001D50A3"/>
    <w:rsid w:val="001D5B20"/>
    <w:rsid w:val="001D6CB9"/>
    <w:rsid w:val="001E1047"/>
    <w:rsid w:val="001E1DEC"/>
    <w:rsid w:val="001E1E02"/>
    <w:rsid w:val="001E20AC"/>
    <w:rsid w:val="001E263F"/>
    <w:rsid w:val="001E2915"/>
    <w:rsid w:val="001E2CE2"/>
    <w:rsid w:val="001E2FA8"/>
    <w:rsid w:val="001E31F9"/>
    <w:rsid w:val="001E3762"/>
    <w:rsid w:val="001E4148"/>
    <w:rsid w:val="001E43F8"/>
    <w:rsid w:val="001E4CE5"/>
    <w:rsid w:val="001E536B"/>
    <w:rsid w:val="001E56B8"/>
    <w:rsid w:val="001E60B5"/>
    <w:rsid w:val="001E6EAD"/>
    <w:rsid w:val="001E7058"/>
    <w:rsid w:val="001E727F"/>
    <w:rsid w:val="001F0DDE"/>
    <w:rsid w:val="001F0DE8"/>
    <w:rsid w:val="001F0E23"/>
    <w:rsid w:val="001F16C2"/>
    <w:rsid w:val="001F18A0"/>
    <w:rsid w:val="001F1B28"/>
    <w:rsid w:val="001F1D06"/>
    <w:rsid w:val="001F27B9"/>
    <w:rsid w:val="001F33DB"/>
    <w:rsid w:val="001F3B71"/>
    <w:rsid w:val="001F51EF"/>
    <w:rsid w:val="001F5B13"/>
    <w:rsid w:val="001F5B32"/>
    <w:rsid w:val="001F6B54"/>
    <w:rsid w:val="00200201"/>
    <w:rsid w:val="00200C78"/>
    <w:rsid w:val="00201322"/>
    <w:rsid w:val="00201334"/>
    <w:rsid w:val="00201C3C"/>
    <w:rsid w:val="002023DC"/>
    <w:rsid w:val="00203168"/>
    <w:rsid w:val="00204EDD"/>
    <w:rsid w:val="00204F8B"/>
    <w:rsid w:val="0020502E"/>
    <w:rsid w:val="00206B89"/>
    <w:rsid w:val="002071B2"/>
    <w:rsid w:val="00210034"/>
    <w:rsid w:val="00210140"/>
    <w:rsid w:val="00210607"/>
    <w:rsid w:val="0021235A"/>
    <w:rsid w:val="0021374C"/>
    <w:rsid w:val="00213DB5"/>
    <w:rsid w:val="002145AB"/>
    <w:rsid w:val="0021486B"/>
    <w:rsid w:val="0021537A"/>
    <w:rsid w:val="00215EE5"/>
    <w:rsid w:val="00216254"/>
    <w:rsid w:val="00216568"/>
    <w:rsid w:val="00216719"/>
    <w:rsid w:val="002170A9"/>
    <w:rsid w:val="0021785C"/>
    <w:rsid w:val="00217899"/>
    <w:rsid w:val="00217D83"/>
    <w:rsid w:val="00220143"/>
    <w:rsid w:val="002201CF"/>
    <w:rsid w:val="00221491"/>
    <w:rsid w:val="002214A6"/>
    <w:rsid w:val="0022203D"/>
    <w:rsid w:val="00222B43"/>
    <w:rsid w:val="00222C5B"/>
    <w:rsid w:val="00222DBB"/>
    <w:rsid w:val="0022379F"/>
    <w:rsid w:val="00223D4A"/>
    <w:rsid w:val="0022422D"/>
    <w:rsid w:val="00224C60"/>
    <w:rsid w:val="00225358"/>
    <w:rsid w:val="0022541D"/>
    <w:rsid w:val="00230DBB"/>
    <w:rsid w:val="00231601"/>
    <w:rsid w:val="00231A21"/>
    <w:rsid w:val="00231C90"/>
    <w:rsid w:val="00231CE1"/>
    <w:rsid w:val="002321A1"/>
    <w:rsid w:val="00232AAD"/>
    <w:rsid w:val="00232D7F"/>
    <w:rsid w:val="00232FE7"/>
    <w:rsid w:val="002333B0"/>
    <w:rsid w:val="0023349F"/>
    <w:rsid w:val="002335B5"/>
    <w:rsid w:val="00233A70"/>
    <w:rsid w:val="002351F4"/>
    <w:rsid w:val="00237175"/>
    <w:rsid w:val="00237A4C"/>
    <w:rsid w:val="00237F95"/>
    <w:rsid w:val="002402C9"/>
    <w:rsid w:val="002406A9"/>
    <w:rsid w:val="00240C56"/>
    <w:rsid w:val="00240ED4"/>
    <w:rsid w:val="00241102"/>
    <w:rsid w:val="002420E5"/>
    <w:rsid w:val="00243415"/>
    <w:rsid w:val="002435B8"/>
    <w:rsid w:val="00243EB1"/>
    <w:rsid w:val="00243EBF"/>
    <w:rsid w:val="00243FD1"/>
    <w:rsid w:val="00244B8C"/>
    <w:rsid w:val="00244BC6"/>
    <w:rsid w:val="00244E3B"/>
    <w:rsid w:val="0024685B"/>
    <w:rsid w:val="00246D62"/>
    <w:rsid w:val="0025019E"/>
    <w:rsid w:val="00251F52"/>
    <w:rsid w:val="00252A1C"/>
    <w:rsid w:val="00252DBA"/>
    <w:rsid w:val="0025394D"/>
    <w:rsid w:val="00254428"/>
    <w:rsid w:val="00254758"/>
    <w:rsid w:val="002547FB"/>
    <w:rsid w:val="0025484C"/>
    <w:rsid w:val="00255B6D"/>
    <w:rsid w:val="0025768A"/>
    <w:rsid w:val="002610F7"/>
    <w:rsid w:val="002623BB"/>
    <w:rsid w:val="00262953"/>
    <w:rsid w:val="00262C1B"/>
    <w:rsid w:val="00264225"/>
    <w:rsid w:val="00264571"/>
    <w:rsid w:val="00264657"/>
    <w:rsid w:val="00265360"/>
    <w:rsid w:val="00265847"/>
    <w:rsid w:val="00266614"/>
    <w:rsid w:val="002669CC"/>
    <w:rsid w:val="00267409"/>
    <w:rsid w:val="00270E34"/>
    <w:rsid w:val="00270FEE"/>
    <w:rsid w:val="00271644"/>
    <w:rsid w:val="00271725"/>
    <w:rsid w:val="00271F7E"/>
    <w:rsid w:val="00272800"/>
    <w:rsid w:val="00273749"/>
    <w:rsid w:val="00274497"/>
    <w:rsid w:val="00274F76"/>
    <w:rsid w:val="002756A4"/>
    <w:rsid w:val="00276A5C"/>
    <w:rsid w:val="00277023"/>
    <w:rsid w:val="002800E7"/>
    <w:rsid w:val="00280176"/>
    <w:rsid w:val="002819D8"/>
    <w:rsid w:val="002835B4"/>
    <w:rsid w:val="002836E6"/>
    <w:rsid w:val="00283F06"/>
    <w:rsid w:val="002843E3"/>
    <w:rsid w:val="002844E2"/>
    <w:rsid w:val="00285777"/>
    <w:rsid w:val="002858D1"/>
    <w:rsid w:val="00286051"/>
    <w:rsid w:val="002860BB"/>
    <w:rsid w:val="00287C27"/>
    <w:rsid w:val="00290243"/>
    <w:rsid w:val="00290BB6"/>
    <w:rsid w:val="00291A83"/>
    <w:rsid w:val="00291D07"/>
    <w:rsid w:val="0029241E"/>
    <w:rsid w:val="00292D70"/>
    <w:rsid w:val="00292F70"/>
    <w:rsid w:val="00293146"/>
    <w:rsid w:val="00293AF9"/>
    <w:rsid w:val="00293B6F"/>
    <w:rsid w:val="0029418F"/>
    <w:rsid w:val="002947C7"/>
    <w:rsid w:val="00294BB7"/>
    <w:rsid w:val="00295E27"/>
    <w:rsid w:val="002972E5"/>
    <w:rsid w:val="00297310"/>
    <w:rsid w:val="00297A0A"/>
    <w:rsid w:val="002A0087"/>
    <w:rsid w:val="002A1B30"/>
    <w:rsid w:val="002A2EAD"/>
    <w:rsid w:val="002A3231"/>
    <w:rsid w:val="002A4612"/>
    <w:rsid w:val="002A4D86"/>
    <w:rsid w:val="002A52EF"/>
    <w:rsid w:val="002A5F77"/>
    <w:rsid w:val="002A6A9B"/>
    <w:rsid w:val="002A6B93"/>
    <w:rsid w:val="002A6EEE"/>
    <w:rsid w:val="002A7753"/>
    <w:rsid w:val="002A7961"/>
    <w:rsid w:val="002B1383"/>
    <w:rsid w:val="002B1FA4"/>
    <w:rsid w:val="002B2BC0"/>
    <w:rsid w:val="002B30CB"/>
    <w:rsid w:val="002B4A6D"/>
    <w:rsid w:val="002B53EE"/>
    <w:rsid w:val="002B53F0"/>
    <w:rsid w:val="002B60A1"/>
    <w:rsid w:val="002B6151"/>
    <w:rsid w:val="002B6F21"/>
    <w:rsid w:val="002C01B0"/>
    <w:rsid w:val="002C0958"/>
    <w:rsid w:val="002C18C1"/>
    <w:rsid w:val="002C1FFD"/>
    <w:rsid w:val="002C287B"/>
    <w:rsid w:val="002C2AD9"/>
    <w:rsid w:val="002C3D1A"/>
    <w:rsid w:val="002C3D8A"/>
    <w:rsid w:val="002C439E"/>
    <w:rsid w:val="002C4A6D"/>
    <w:rsid w:val="002C5341"/>
    <w:rsid w:val="002C5454"/>
    <w:rsid w:val="002C56FC"/>
    <w:rsid w:val="002C5AD6"/>
    <w:rsid w:val="002C610F"/>
    <w:rsid w:val="002C61B8"/>
    <w:rsid w:val="002C6A73"/>
    <w:rsid w:val="002C6B58"/>
    <w:rsid w:val="002C6CAB"/>
    <w:rsid w:val="002C7B2C"/>
    <w:rsid w:val="002D0100"/>
    <w:rsid w:val="002D0489"/>
    <w:rsid w:val="002D0693"/>
    <w:rsid w:val="002D0C2D"/>
    <w:rsid w:val="002D0C50"/>
    <w:rsid w:val="002D0DD5"/>
    <w:rsid w:val="002D0E4D"/>
    <w:rsid w:val="002D228C"/>
    <w:rsid w:val="002D26E9"/>
    <w:rsid w:val="002D2846"/>
    <w:rsid w:val="002D2C29"/>
    <w:rsid w:val="002D2F42"/>
    <w:rsid w:val="002D31CD"/>
    <w:rsid w:val="002D38DF"/>
    <w:rsid w:val="002D4151"/>
    <w:rsid w:val="002D7047"/>
    <w:rsid w:val="002D7798"/>
    <w:rsid w:val="002D7BDF"/>
    <w:rsid w:val="002D7FA7"/>
    <w:rsid w:val="002E103E"/>
    <w:rsid w:val="002E1588"/>
    <w:rsid w:val="002E184A"/>
    <w:rsid w:val="002E1D19"/>
    <w:rsid w:val="002E1E8D"/>
    <w:rsid w:val="002E25CD"/>
    <w:rsid w:val="002E2A8C"/>
    <w:rsid w:val="002E2A9F"/>
    <w:rsid w:val="002E2EBA"/>
    <w:rsid w:val="002E2F0E"/>
    <w:rsid w:val="002E3001"/>
    <w:rsid w:val="002E3CB3"/>
    <w:rsid w:val="002E3F96"/>
    <w:rsid w:val="002E4729"/>
    <w:rsid w:val="002E4AAE"/>
    <w:rsid w:val="002E4C6C"/>
    <w:rsid w:val="002E5292"/>
    <w:rsid w:val="002E59FA"/>
    <w:rsid w:val="002E6235"/>
    <w:rsid w:val="002E68AA"/>
    <w:rsid w:val="002E74EC"/>
    <w:rsid w:val="002F018C"/>
    <w:rsid w:val="002F06C6"/>
    <w:rsid w:val="002F1A83"/>
    <w:rsid w:val="002F1AA6"/>
    <w:rsid w:val="002F1E69"/>
    <w:rsid w:val="002F2B99"/>
    <w:rsid w:val="002F2E41"/>
    <w:rsid w:val="002F337D"/>
    <w:rsid w:val="002F3745"/>
    <w:rsid w:val="002F4C02"/>
    <w:rsid w:val="002F5827"/>
    <w:rsid w:val="002F58B3"/>
    <w:rsid w:val="002F6F9B"/>
    <w:rsid w:val="002F728F"/>
    <w:rsid w:val="00300003"/>
    <w:rsid w:val="00301070"/>
    <w:rsid w:val="0030123B"/>
    <w:rsid w:val="003015DD"/>
    <w:rsid w:val="00301727"/>
    <w:rsid w:val="00301D9A"/>
    <w:rsid w:val="00303490"/>
    <w:rsid w:val="0030372C"/>
    <w:rsid w:val="00303BE4"/>
    <w:rsid w:val="00303C1F"/>
    <w:rsid w:val="0030439E"/>
    <w:rsid w:val="00304612"/>
    <w:rsid w:val="0030474C"/>
    <w:rsid w:val="0030549B"/>
    <w:rsid w:val="00305DC2"/>
    <w:rsid w:val="00305F07"/>
    <w:rsid w:val="00306232"/>
    <w:rsid w:val="0030651B"/>
    <w:rsid w:val="003065A1"/>
    <w:rsid w:val="00307227"/>
    <w:rsid w:val="003074A8"/>
    <w:rsid w:val="00311B54"/>
    <w:rsid w:val="0031246E"/>
    <w:rsid w:val="00312E89"/>
    <w:rsid w:val="00314D66"/>
    <w:rsid w:val="00316A24"/>
    <w:rsid w:val="00316ADD"/>
    <w:rsid w:val="00316D3D"/>
    <w:rsid w:val="003173DF"/>
    <w:rsid w:val="00320B0F"/>
    <w:rsid w:val="00320D20"/>
    <w:rsid w:val="003217B0"/>
    <w:rsid w:val="00321A5E"/>
    <w:rsid w:val="00321B8B"/>
    <w:rsid w:val="003222DE"/>
    <w:rsid w:val="0032254A"/>
    <w:rsid w:val="003231DA"/>
    <w:rsid w:val="003239A1"/>
    <w:rsid w:val="003242FB"/>
    <w:rsid w:val="003249B9"/>
    <w:rsid w:val="00324DAC"/>
    <w:rsid w:val="00325D7A"/>
    <w:rsid w:val="00325E09"/>
    <w:rsid w:val="003264DD"/>
    <w:rsid w:val="00326C28"/>
    <w:rsid w:val="00326F7E"/>
    <w:rsid w:val="003274C0"/>
    <w:rsid w:val="00327898"/>
    <w:rsid w:val="0033030A"/>
    <w:rsid w:val="00330E2D"/>
    <w:rsid w:val="00331105"/>
    <w:rsid w:val="00331144"/>
    <w:rsid w:val="00331672"/>
    <w:rsid w:val="00331BC0"/>
    <w:rsid w:val="00331F35"/>
    <w:rsid w:val="003328FB"/>
    <w:rsid w:val="00332E9F"/>
    <w:rsid w:val="00334137"/>
    <w:rsid w:val="00334932"/>
    <w:rsid w:val="003349AD"/>
    <w:rsid w:val="00334CE2"/>
    <w:rsid w:val="00334D9E"/>
    <w:rsid w:val="0033515E"/>
    <w:rsid w:val="0033566E"/>
    <w:rsid w:val="0033584F"/>
    <w:rsid w:val="003359DF"/>
    <w:rsid w:val="00335DF7"/>
    <w:rsid w:val="003368BE"/>
    <w:rsid w:val="00336B70"/>
    <w:rsid w:val="00337099"/>
    <w:rsid w:val="00340137"/>
    <w:rsid w:val="00340386"/>
    <w:rsid w:val="00340A2A"/>
    <w:rsid w:val="00340D20"/>
    <w:rsid w:val="00340E87"/>
    <w:rsid w:val="0034219D"/>
    <w:rsid w:val="00342653"/>
    <w:rsid w:val="0034295E"/>
    <w:rsid w:val="0034331C"/>
    <w:rsid w:val="0034420D"/>
    <w:rsid w:val="00344C05"/>
    <w:rsid w:val="00345183"/>
    <w:rsid w:val="003456A8"/>
    <w:rsid w:val="003468C6"/>
    <w:rsid w:val="003468E5"/>
    <w:rsid w:val="00346B56"/>
    <w:rsid w:val="00346CF1"/>
    <w:rsid w:val="00350847"/>
    <w:rsid w:val="00351E2D"/>
    <w:rsid w:val="003527D5"/>
    <w:rsid w:val="00352F83"/>
    <w:rsid w:val="003531AC"/>
    <w:rsid w:val="00353839"/>
    <w:rsid w:val="00354605"/>
    <w:rsid w:val="00354AE3"/>
    <w:rsid w:val="00354DDC"/>
    <w:rsid w:val="0035507E"/>
    <w:rsid w:val="00355CE7"/>
    <w:rsid w:val="0035686A"/>
    <w:rsid w:val="003571A2"/>
    <w:rsid w:val="00357212"/>
    <w:rsid w:val="00357437"/>
    <w:rsid w:val="003602E0"/>
    <w:rsid w:val="00360951"/>
    <w:rsid w:val="00361325"/>
    <w:rsid w:val="00362725"/>
    <w:rsid w:val="00363875"/>
    <w:rsid w:val="00364AE6"/>
    <w:rsid w:val="00365345"/>
    <w:rsid w:val="00366629"/>
    <w:rsid w:val="00366914"/>
    <w:rsid w:val="003674B2"/>
    <w:rsid w:val="0037020D"/>
    <w:rsid w:val="0037036E"/>
    <w:rsid w:val="003705B6"/>
    <w:rsid w:val="00371934"/>
    <w:rsid w:val="00371EEA"/>
    <w:rsid w:val="00372032"/>
    <w:rsid w:val="00372327"/>
    <w:rsid w:val="00372519"/>
    <w:rsid w:val="003726DE"/>
    <w:rsid w:val="003727A8"/>
    <w:rsid w:val="00373A7E"/>
    <w:rsid w:val="00374459"/>
    <w:rsid w:val="00374A91"/>
    <w:rsid w:val="003751E6"/>
    <w:rsid w:val="0037644F"/>
    <w:rsid w:val="0037650B"/>
    <w:rsid w:val="00376C6F"/>
    <w:rsid w:val="00376CDC"/>
    <w:rsid w:val="00377072"/>
    <w:rsid w:val="0038140C"/>
    <w:rsid w:val="00381CB2"/>
    <w:rsid w:val="00382254"/>
    <w:rsid w:val="003828D8"/>
    <w:rsid w:val="00382D13"/>
    <w:rsid w:val="0038487F"/>
    <w:rsid w:val="00384F40"/>
    <w:rsid w:val="00384FB7"/>
    <w:rsid w:val="00385FF1"/>
    <w:rsid w:val="00387505"/>
    <w:rsid w:val="0039016E"/>
    <w:rsid w:val="0039081E"/>
    <w:rsid w:val="003910A6"/>
    <w:rsid w:val="003914E7"/>
    <w:rsid w:val="00391DDF"/>
    <w:rsid w:val="00391F64"/>
    <w:rsid w:val="00393A0A"/>
    <w:rsid w:val="00393D73"/>
    <w:rsid w:val="00393E31"/>
    <w:rsid w:val="00394BA3"/>
    <w:rsid w:val="003950CC"/>
    <w:rsid w:val="003953D1"/>
    <w:rsid w:val="00395CF7"/>
    <w:rsid w:val="003960DF"/>
    <w:rsid w:val="003961C1"/>
    <w:rsid w:val="003970AD"/>
    <w:rsid w:val="003977F7"/>
    <w:rsid w:val="00397AB3"/>
    <w:rsid w:val="003A0632"/>
    <w:rsid w:val="003A0AE4"/>
    <w:rsid w:val="003A1175"/>
    <w:rsid w:val="003A18BA"/>
    <w:rsid w:val="003A2331"/>
    <w:rsid w:val="003A23CC"/>
    <w:rsid w:val="003A2483"/>
    <w:rsid w:val="003A26E2"/>
    <w:rsid w:val="003A2AD3"/>
    <w:rsid w:val="003A345C"/>
    <w:rsid w:val="003A4249"/>
    <w:rsid w:val="003A435A"/>
    <w:rsid w:val="003A4BCB"/>
    <w:rsid w:val="003A4F27"/>
    <w:rsid w:val="003A5404"/>
    <w:rsid w:val="003A5C3C"/>
    <w:rsid w:val="003B0E8F"/>
    <w:rsid w:val="003B0F75"/>
    <w:rsid w:val="003B1EFE"/>
    <w:rsid w:val="003B3492"/>
    <w:rsid w:val="003B3508"/>
    <w:rsid w:val="003B389C"/>
    <w:rsid w:val="003B40BE"/>
    <w:rsid w:val="003B4AE2"/>
    <w:rsid w:val="003B5801"/>
    <w:rsid w:val="003B5E46"/>
    <w:rsid w:val="003B66A2"/>
    <w:rsid w:val="003B71AD"/>
    <w:rsid w:val="003B742A"/>
    <w:rsid w:val="003B749B"/>
    <w:rsid w:val="003C0F5A"/>
    <w:rsid w:val="003C213D"/>
    <w:rsid w:val="003C220D"/>
    <w:rsid w:val="003C2BB9"/>
    <w:rsid w:val="003C2F8C"/>
    <w:rsid w:val="003C34FD"/>
    <w:rsid w:val="003C38B2"/>
    <w:rsid w:val="003C5595"/>
    <w:rsid w:val="003C7101"/>
    <w:rsid w:val="003C73BE"/>
    <w:rsid w:val="003D1AB8"/>
    <w:rsid w:val="003D1D6D"/>
    <w:rsid w:val="003D2057"/>
    <w:rsid w:val="003D2950"/>
    <w:rsid w:val="003D6387"/>
    <w:rsid w:val="003D6490"/>
    <w:rsid w:val="003D6C03"/>
    <w:rsid w:val="003E265B"/>
    <w:rsid w:val="003E2F0C"/>
    <w:rsid w:val="003E46C0"/>
    <w:rsid w:val="003E6619"/>
    <w:rsid w:val="003E66A5"/>
    <w:rsid w:val="003E70FE"/>
    <w:rsid w:val="003E736C"/>
    <w:rsid w:val="003E767D"/>
    <w:rsid w:val="003E768B"/>
    <w:rsid w:val="003E7809"/>
    <w:rsid w:val="003E79EC"/>
    <w:rsid w:val="003E7DA4"/>
    <w:rsid w:val="003F01CE"/>
    <w:rsid w:val="003F06C0"/>
    <w:rsid w:val="003F06EE"/>
    <w:rsid w:val="003F1393"/>
    <w:rsid w:val="003F2C08"/>
    <w:rsid w:val="003F3AD1"/>
    <w:rsid w:val="003F3B10"/>
    <w:rsid w:val="003F4318"/>
    <w:rsid w:val="003F46F9"/>
    <w:rsid w:val="003F4F58"/>
    <w:rsid w:val="003F6053"/>
    <w:rsid w:val="003F69C2"/>
    <w:rsid w:val="003F7994"/>
    <w:rsid w:val="0040086C"/>
    <w:rsid w:val="00400C95"/>
    <w:rsid w:val="00400EDB"/>
    <w:rsid w:val="00401511"/>
    <w:rsid w:val="0040172C"/>
    <w:rsid w:val="00402380"/>
    <w:rsid w:val="0040264B"/>
    <w:rsid w:val="00403112"/>
    <w:rsid w:val="00403120"/>
    <w:rsid w:val="00405CE5"/>
    <w:rsid w:val="004063C7"/>
    <w:rsid w:val="0040650D"/>
    <w:rsid w:val="00407477"/>
    <w:rsid w:val="004106FC"/>
    <w:rsid w:val="00410A05"/>
    <w:rsid w:val="00411C90"/>
    <w:rsid w:val="0041212D"/>
    <w:rsid w:val="00412278"/>
    <w:rsid w:val="00412553"/>
    <w:rsid w:val="00412FED"/>
    <w:rsid w:val="004130DB"/>
    <w:rsid w:val="004143DD"/>
    <w:rsid w:val="004145B2"/>
    <w:rsid w:val="004145FD"/>
    <w:rsid w:val="0041475C"/>
    <w:rsid w:val="00414A23"/>
    <w:rsid w:val="00414F55"/>
    <w:rsid w:val="004162FE"/>
    <w:rsid w:val="004166A1"/>
    <w:rsid w:val="00417441"/>
    <w:rsid w:val="00417D21"/>
    <w:rsid w:val="004206A3"/>
    <w:rsid w:val="00420FE6"/>
    <w:rsid w:val="00421028"/>
    <w:rsid w:val="0042111E"/>
    <w:rsid w:val="00421956"/>
    <w:rsid w:val="00421A5B"/>
    <w:rsid w:val="0042256C"/>
    <w:rsid w:val="004228DB"/>
    <w:rsid w:val="00423326"/>
    <w:rsid w:val="004233EB"/>
    <w:rsid w:val="00424536"/>
    <w:rsid w:val="004245FD"/>
    <w:rsid w:val="004250BB"/>
    <w:rsid w:val="00426258"/>
    <w:rsid w:val="004271E7"/>
    <w:rsid w:val="00427A36"/>
    <w:rsid w:val="004300F4"/>
    <w:rsid w:val="004301FD"/>
    <w:rsid w:val="0043031E"/>
    <w:rsid w:val="00430691"/>
    <w:rsid w:val="004307DC"/>
    <w:rsid w:val="00430D7A"/>
    <w:rsid w:val="0043110C"/>
    <w:rsid w:val="00431215"/>
    <w:rsid w:val="004313FE"/>
    <w:rsid w:val="0043238C"/>
    <w:rsid w:val="0043260E"/>
    <w:rsid w:val="0043265C"/>
    <w:rsid w:val="0043290B"/>
    <w:rsid w:val="00432AFC"/>
    <w:rsid w:val="00433F9D"/>
    <w:rsid w:val="004341E8"/>
    <w:rsid w:val="00434C5E"/>
    <w:rsid w:val="00435AD6"/>
    <w:rsid w:val="00435C1B"/>
    <w:rsid w:val="004362E7"/>
    <w:rsid w:val="00436F6B"/>
    <w:rsid w:val="0043717B"/>
    <w:rsid w:val="0043754B"/>
    <w:rsid w:val="004378E2"/>
    <w:rsid w:val="00437EC9"/>
    <w:rsid w:val="0044036E"/>
    <w:rsid w:val="004419FE"/>
    <w:rsid w:val="00441EFC"/>
    <w:rsid w:val="00441F50"/>
    <w:rsid w:val="00442378"/>
    <w:rsid w:val="004426ED"/>
    <w:rsid w:val="00442E45"/>
    <w:rsid w:val="004437F4"/>
    <w:rsid w:val="0044415E"/>
    <w:rsid w:val="004448E7"/>
    <w:rsid w:val="00444C88"/>
    <w:rsid w:val="00445421"/>
    <w:rsid w:val="00445AE4"/>
    <w:rsid w:val="00446325"/>
    <w:rsid w:val="00446703"/>
    <w:rsid w:val="00447B61"/>
    <w:rsid w:val="00447DF3"/>
    <w:rsid w:val="00447E3E"/>
    <w:rsid w:val="00451192"/>
    <w:rsid w:val="00451EDC"/>
    <w:rsid w:val="00452BBE"/>
    <w:rsid w:val="00452D0E"/>
    <w:rsid w:val="004537BC"/>
    <w:rsid w:val="00453805"/>
    <w:rsid w:val="00454A32"/>
    <w:rsid w:val="00455C0D"/>
    <w:rsid w:val="0045603A"/>
    <w:rsid w:val="004568C8"/>
    <w:rsid w:val="00457143"/>
    <w:rsid w:val="00457943"/>
    <w:rsid w:val="004607AD"/>
    <w:rsid w:val="00460ABA"/>
    <w:rsid w:val="00460DC2"/>
    <w:rsid w:val="00462498"/>
    <w:rsid w:val="00462D20"/>
    <w:rsid w:val="00463EC0"/>
    <w:rsid w:val="004643CB"/>
    <w:rsid w:val="00465388"/>
    <w:rsid w:val="00465412"/>
    <w:rsid w:val="0046593B"/>
    <w:rsid w:val="00465D4F"/>
    <w:rsid w:val="00466223"/>
    <w:rsid w:val="0046725A"/>
    <w:rsid w:val="00467465"/>
    <w:rsid w:val="00470DC7"/>
    <w:rsid w:val="00472086"/>
    <w:rsid w:val="00472E8F"/>
    <w:rsid w:val="004737F1"/>
    <w:rsid w:val="00473E3C"/>
    <w:rsid w:val="004742E4"/>
    <w:rsid w:val="00474580"/>
    <w:rsid w:val="0047478B"/>
    <w:rsid w:val="00475E89"/>
    <w:rsid w:val="00476492"/>
    <w:rsid w:val="00476BF2"/>
    <w:rsid w:val="00477373"/>
    <w:rsid w:val="00477BFB"/>
    <w:rsid w:val="00477CF7"/>
    <w:rsid w:val="00480D80"/>
    <w:rsid w:val="0048116C"/>
    <w:rsid w:val="00482C7F"/>
    <w:rsid w:val="00482E35"/>
    <w:rsid w:val="00483BBF"/>
    <w:rsid w:val="004850C2"/>
    <w:rsid w:val="00485A1C"/>
    <w:rsid w:val="00486DBE"/>
    <w:rsid w:val="00486F79"/>
    <w:rsid w:val="00487453"/>
    <w:rsid w:val="00487F6C"/>
    <w:rsid w:val="0049053E"/>
    <w:rsid w:val="0049275F"/>
    <w:rsid w:val="00493089"/>
    <w:rsid w:val="004937CF"/>
    <w:rsid w:val="0049383D"/>
    <w:rsid w:val="00493B0A"/>
    <w:rsid w:val="004941EF"/>
    <w:rsid w:val="00494B85"/>
    <w:rsid w:val="00494E6F"/>
    <w:rsid w:val="00495127"/>
    <w:rsid w:val="0049575C"/>
    <w:rsid w:val="00495913"/>
    <w:rsid w:val="004963F1"/>
    <w:rsid w:val="004973C2"/>
    <w:rsid w:val="00497F14"/>
    <w:rsid w:val="004A0539"/>
    <w:rsid w:val="004A1059"/>
    <w:rsid w:val="004A1D04"/>
    <w:rsid w:val="004A221A"/>
    <w:rsid w:val="004A222F"/>
    <w:rsid w:val="004A23D9"/>
    <w:rsid w:val="004A29E8"/>
    <w:rsid w:val="004A30C4"/>
    <w:rsid w:val="004A40B6"/>
    <w:rsid w:val="004A46B2"/>
    <w:rsid w:val="004A472D"/>
    <w:rsid w:val="004A4FC0"/>
    <w:rsid w:val="004A6290"/>
    <w:rsid w:val="004A647B"/>
    <w:rsid w:val="004A7910"/>
    <w:rsid w:val="004A7FFE"/>
    <w:rsid w:val="004B03E7"/>
    <w:rsid w:val="004B050C"/>
    <w:rsid w:val="004B09D3"/>
    <w:rsid w:val="004B0DC5"/>
    <w:rsid w:val="004B1079"/>
    <w:rsid w:val="004B1937"/>
    <w:rsid w:val="004B1E6C"/>
    <w:rsid w:val="004B27F2"/>
    <w:rsid w:val="004B2BDF"/>
    <w:rsid w:val="004B3266"/>
    <w:rsid w:val="004B3845"/>
    <w:rsid w:val="004B38A2"/>
    <w:rsid w:val="004B418E"/>
    <w:rsid w:val="004B43C0"/>
    <w:rsid w:val="004B471D"/>
    <w:rsid w:val="004B5ACC"/>
    <w:rsid w:val="004B5C0C"/>
    <w:rsid w:val="004B5DA8"/>
    <w:rsid w:val="004B5F9F"/>
    <w:rsid w:val="004B61D2"/>
    <w:rsid w:val="004B6374"/>
    <w:rsid w:val="004B6D0C"/>
    <w:rsid w:val="004B74DC"/>
    <w:rsid w:val="004C04B2"/>
    <w:rsid w:val="004C07DB"/>
    <w:rsid w:val="004C0C4F"/>
    <w:rsid w:val="004C10C9"/>
    <w:rsid w:val="004C12E6"/>
    <w:rsid w:val="004C16EA"/>
    <w:rsid w:val="004C1BE1"/>
    <w:rsid w:val="004C1EF5"/>
    <w:rsid w:val="004C1F7B"/>
    <w:rsid w:val="004C1FAF"/>
    <w:rsid w:val="004C211E"/>
    <w:rsid w:val="004C247D"/>
    <w:rsid w:val="004C2EDE"/>
    <w:rsid w:val="004C3683"/>
    <w:rsid w:val="004C37C8"/>
    <w:rsid w:val="004C3E15"/>
    <w:rsid w:val="004C5824"/>
    <w:rsid w:val="004C66BA"/>
    <w:rsid w:val="004C6E94"/>
    <w:rsid w:val="004C738F"/>
    <w:rsid w:val="004C790A"/>
    <w:rsid w:val="004D1011"/>
    <w:rsid w:val="004D1563"/>
    <w:rsid w:val="004D1DC0"/>
    <w:rsid w:val="004D2367"/>
    <w:rsid w:val="004D259B"/>
    <w:rsid w:val="004D3324"/>
    <w:rsid w:val="004D3393"/>
    <w:rsid w:val="004D3400"/>
    <w:rsid w:val="004D39DD"/>
    <w:rsid w:val="004D39EC"/>
    <w:rsid w:val="004D5719"/>
    <w:rsid w:val="004D62A0"/>
    <w:rsid w:val="004D634A"/>
    <w:rsid w:val="004D782E"/>
    <w:rsid w:val="004E04CD"/>
    <w:rsid w:val="004E0CC5"/>
    <w:rsid w:val="004E0CD8"/>
    <w:rsid w:val="004E0D24"/>
    <w:rsid w:val="004E12A2"/>
    <w:rsid w:val="004E13F0"/>
    <w:rsid w:val="004E1AEA"/>
    <w:rsid w:val="004E1C05"/>
    <w:rsid w:val="004E2067"/>
    <w:rsid w:val="004E2090"/>
    <w:rsid w:val="004E2919"/>
    <w:rsid w:val="004E2A11"/>
    <w:rsid w:val="004E2BE8"/>
    <w:rsid w:val="004E3CE7"/>
    <w:rsid w:val="004E47CA"/>
    <w:rsid w:val="004E5924"/>
    <w:rsid w:val="004E6C6A"/>
    <w:rsid w:val="004E7D2A"/>
    <w:rsid w:val="004F19AB"/>
    <w:rsid w:val="004F1D57"/>
    <w:rsid w:val="004F1F38"/>
    <w:rsid w:val="004F20B2"/>
    <w:rsid w:val="004F2BB4"/>
    <w:rsid w:val="004F31A0"/>
    <w:rsid w:val="004F3770"/>
    <w:rsid w:val="004F3E29"/>
    <w:rsid w:val="004F3E7D"/>
    <w:rsid w:val="004F4320"/>
    <w:rsid w:val="004F4AED"/>
    <w:rsid w:val="004F4DEC"/>
    <w:rsid w:val="004F5387"/>
    <w:rsid w:val="004F5755"/>
    <w:rsid w:val="004F7091"/>
    <w:rsid w:val="00500270"/>
    <w:rsid w:val="00500FA6"/>
    <w:rsid w:val="00501EE8"/>
    <w:rsid w:val="005032BD"/>
    <w:rsid w:val="00504F88"/>
    <w:rsid w:val="00505FFA"/>
    <w:rsid w:val="00506497"/>
    <w:rsid w:val="00506B3B"/>
    <w:rsid w:val="005070A6"/>
    <w:rsid w:val="0050734D"/>
    <w:rsid w:val="0050748A"/>
    <w:rsid w:val="00507EC2"/>
    <w:rsid w:val="0051019A"/>
    <w:rsid w:val="00510281"/>
    <w:rsid w:val="00510513"/>
    <w:rsid w:val="005107D5"/>
    <w:rsid w:val="00511454"/>
    <w:rsid w:val="005114C2"/>
    <w:rsid w:val="00511EF6"/>
    <w:rsid w:val="00512E3B"/>
    <w:rsid w:val="00512EC1"/>
    <w:rsid w:val="005132A5"/>
    <w:rsid w:val="00514755"/>
    <w:rsid w:val="00515804"/>
    <w:rsid w:val="00515EE1"/>
    <w:rsid w:val="005162B1"/>
    <w:rsid w:val="00516ADF"/>
    <w:rsid w:val="00517145"/>
    <w:rsid w:val="005171DA"/>
    <w:rsid w:val="00517D7B"/>
    <w:rsid w:val="00520552"/>
    <w:rsid w:val="005212F6"/>
    <w:rsid w:val="00522352"/>
    <w:rsid w:val="005225AF"/>
    <w:rsid w:val="00522E85"/>
    <w:rsid w:val="005235A3"/>
    <w:rsid w:val="005238B4"/>
    <w:rsid w:val="00523D96"/>
    <w:rsid w:val="00524357"/>
    <w:rsid w:val="0052446A"/>
    <w:rsid w:val="005253E0"/>
    <w:rsid w:val="00525F58"/>
    <w:rsid w:val="00526435"/>
    <w:rsid w:val="00530103"/>
    <w:rsid w:val="00531247"/>
    <w:rsid w:val="005316E9"/>
    <w:rsid w:val="00531A96"/>
    <w:rsid w:val="00532F60"/>
    <w:rsid w:val="005333B5"/>
    <w:rsid w:val="00533911"/>
    <w:rsid w:val="00533F02"/>
    <w:rsid w:val="005345B4"/>
    <w:rsid w:val="00534882"/>
    <w:rsid w:val="005351C4"/>
    <w:rsid w:val="00535BF6"/>
    <w:rsid w:val="00535EF6"/>
    <w:rsid w:val="00536A99"/>
    <w:rsid w:val="005377EE"/>
    <w:rsid w:val="00540B5E"/>
    <w:rsid w:val="00541A71"/>
    <w:rsid w:val="0054254A"/>
    <w:rsid w:val="005427DC"/>
    <w:rsid w:val="00543040"/>
    <w:rsid w:val="00544E66"/>
    <w:rsid w:val="00545102"/>
    <w:rsid w:val="0054528A"/>
    <w:rsid w:val="00545F11"/>
    <w:rsid w:val="00545F5B"/>
    <w:rsid w:val="0054799B"/>
    <w:rsid w:val="00547EF5"/>
    <w:rsid w:val="00550490"/>
    <w:rsid w:val="00550FAF"/>
    <w:rsid w:val="00551287"/>
    <w:rsid w:val="00551755"/>
    <w:rsid w:val="00551D4E"/>
    <w:rsid w:val="0055259D"/>
    <w:rsid w:val="0055273B"/>
    <w:rsid w:val="00553B49"/>
    <w:rsid w:val="00554138"/>
    <w:rsid w:val="00554807"/>
    <w:rsid w:val="00554C5D"/>
    <w:rsid w:val="00554EDB"/>
    <w:rsid w:val="0055591B"/>
    <w:rsid w:val="005566FD"/>
    <w:rsid w:val="0055681B"/>
    <w:rsid w:val="00556A84"/>
    <w:rsid w:val="00557596"/>
    <w:rsid w:val="00557804"/>
    <w:rsid w:val="00557E99"/>
    <w:rsid w:val="00557F8A"/>
    <w:rsid w:val="005608E9"/>
    <w:rsid w:val="00560C30"/>
    <w:rsid w:val="00560DB8"/>
    <w:rsid w:val="0056135E"/>
    <w:rsid w:val="005620F8"/>
    <w:rsid w:val="005627B6"/>
    <w:rsid w:val="00562A81"/>
    <w:rsid w:val="005639B7"/>
    <w:rsid w:val="005641A6"/>
    <w:rsid w:val="005645D8"/>
    <w:rsid w:val="00564F2C"/>
    <w:rsid w:val="005651EB"/>
    <w:rsid w:val="00565438"/>
    <w:rsid w:val="0056572F"/>
    <w:rsid w:val="00565D87"/>
    <w:rsid w:val="00566061"/>
    <w:rsid w:val="005663F6"/>
    <w:rsid w:val="00567CEC"/>
    <w:rsid w:val="005709F3"/>
    <w:rsid w:val="00570BED"/>
    <w:rsid w:val="00570E79"/>
    <w:rsid w:val="00570EDF"/>
    <w:rsid w:val="00571E71"/>
    <w:rsid w:val="0057255B"/>
    <w:rsid w:val="00573D41"/>
    <w:rsid w:val="00575500"/>
    <w:rsid w:val="005766FD"/>
    <w:rsid w:val="00576B84"/>
    <w:rsid w:val="00580773"/>
    <w:rsid w:val="005807E3"/>
    <w:rsid w:val="0058266F"/>
    <w:rsid w:val="00583C1C"/>
    <w:rsid w:val="0058486D"/>
    <w:rsid w:val="00584C0B"/>
    <w:rsid w:val="0058629D"/>
    <w:rsid w:val="00586624"/>
    <w:rsid w:val="0059040B"/>
    <w:rsid w:val="00590EF4"/>
    <w:rsid w:val="00591E49"/>
    <w:rsid w:val="00592143"/>
    <w:rsid w:val="00592A9F"/>
    <w:rsid w:val="00593067"/>
    <w:rsid w:val="0059357B"/>
    <w:rsid w:val="005936DE"/>
    <w:rsid w:val="0059431B"/>
    <w:rsid w:val="005944CF"/>
    <w:rsid w:val="00594789"/>
    <w:rsid w:val="0059514A"/>
    <w:rsid w:val="0059599A"/>
    <w:rsid w:val="00597DE0"/>
    <w:rsid w:val="005A09F4"/>
    <w:rsid w:val="005A1480"/>
    <w:rsid w:val="005A1DED"/>
    <w:rsid w:val="005A1ECB"/>
    <w:rsid w:val="005A2909"/>
    <w:rsid w:val="005A3C9F"/>
    <w:rsid w:val="005A3F5E"/>
    <w:rsid w:val="005A4417"/>
    <w:rsid w:val="005A52A3"/>
    <w:rsid w:val="005A5651"/>
    <w:rsid w:val="005A5BB8"/>
    <w:rsid w:val="005A635B"/>
    <w:rsid w:val="005A6D4A"/>
    <w:rsid w:val="005B09BF"/>
    <w:rsid w:val="005B23F1"/>
    <w:rsid w:val="005B283D"/>
    <w:rsid w:val="005B28E9"/>
    <w:rsid w:val="005B31CD"/>
    <w:rsid w:val="005B3798"/>
    <w:rsid w:val="005B3CE8"/>
    <w:rsid w:val="005B3E32"/>
    <w:rsid w:val="005B3E74"/>
    <w:rsid w:val="005B448B"/>
    <w:rsid w:val="005B4518"/>
    <w:rsid w:val="005B50C1"/>
    <w:rsid w:val="005B5D81"/>
    <w:rsid w:val="005B6144"/>
    <w:rsid w:val="005B688E"/>
    <w:rsid w:val="005B717E"/>
    <w:rsid w:val="005B73C9"/>
    <w:rsid w:val="005B794A"/>
    <w:rsid w:val="005B7A24"/>
    <w:rsid w:val="005C0500"/>
    <w:rsid w:val="005C08A9"/>
    <w:rsid w:val="005C0A3F"/>
    <w:rsid w:val="005C1083"/>
    <w:rsid w:val="005C1622"/>
    <w:rsid w:val="005C167E"/>
    <w:rsid w:val="005C3036"/>
    <w:rsid w:val="005C54B6"/>
    <w:rsid w:val="005C5797"/>
    <w:rsid w:val="005C6F91"/>
    <w:rsid w:val="005C7DE6"/>
    <w:rsid w:val="005D0BEB"/>
    <w:rsid w:val="005D1BC7"/>
    <w:rsid w:val="005D2492"/>
    <w:rsid w:val="005D2639"/>
    <w:rsid w:val="005D3300"/>
    <w:rsid w:val="005D439D"/>
    <w:rsid w:val="005D50E7"/>
    <w:rsid w:val="005D7B24"/>
    <w:rsid w:val="005E009A"/>
    <w:rsid w:val="005E14BE"/>
    <w:rsid w:val="005E14C0"/>
    <w:rsid w:val="005E1DA7"/>
    <w:rsid w:val="005E2A1F"/>
    <w:rsid w:val="005E3234"/>
    <w:rsid w:val="005E3FC5"/>
    <w:rsid w:val="005E4316"/>
    <w:rsid w:val="005E48E0"/>
    <w:rsid w:val="005E4A63"/>
    <w:rsid w:val="005E4CA1"/>
    <w:rsid w:val="005E5A20"/>
    <w:rsid w:val="005E5B01"/>
    <w:rsid w:val="005E745A"/>
    <w:rsid w:val="005E78F9"/>
    <w:rsid w:val="005F00C6"/>
    <w:rsid w:val="005F0B4E"/>
    <w:rsid w:val="005F1353"/>
    <w:rsid w:val="005F26D3"/>
    <w:rsid w:val="005F3BF2"/>
    <w:rsid w:val="005F3F33"/>
    <w:rsid w:val="005F4C50"/>
    <w:rsid w:val="005F6680"/>
    <w:rsid w:val="005F6808"/>
    <w:rsid w:val="005F7BF5"/>
    <w:rsid w:val="00602C3C"/>
    <w:rsid w:val="00603084"/>
    <w:rsid w:val="006036EB"/>
    <w:rsid w:val="00603ADB"/>
    <w:rsid w:val="00603CC5"/>
    <w:rsid w:val="00604306"/>
    <w:rsid w:val="00604B31"/>
    <w:rsid w:val="00604C5B"/>
    <w:rsid w:val="0060609B"/>
    <w:rsid w:val="00606D86"/>
    <w:rsid w:val="00607C47"/>
    <w:rsid w:val="00610152"/>
    <w:rsid w:val="006108C2"/>
    <w:rsid w:val="00611359"/>
    <w:rsid w:val="006136F0"/>
    <w:rsid w:val="006138D8"/>
    <w:rsid w:val="00614974"/>
    <w:rsid w:val="00614E20"/>
    <w:rsid w:val="006155EC"/>
    <w:rsid w:val="00615638"/>
    <w:rsid w:val="0061568F"/>
    <w:rsid w:val="00615D65"/>
    <w:rsid w:val="006163F5"/>
    <w:rsid w:val="00616808"/>
    <w:rsid w:val="00616CCA"/>
    <w:rsid w:val="00617706"/>
    <w:rsid w:val="0062047B"/>
    <w:rsid w:val="00621C27"/>
    <w:rsid w:val="00622C9C"/>
    <w:rsid w:val="00622F19"/>
    <w:rsid w:val="00623246"/>
    <w:rsid w:val="00624394"/>
    <w:rsid w:val="00624AFC"/>
    <w:rsid w:val="00625C2B"/>
    <w:rsid w:val="00626CF3"/>
    <w:rsid w:val="006272E0"/>
    <w:rsid w:val="006279A8"/>
    <w:rsid w:val="00627DAA"/>
    <w:rsid w:val="0063023B"/>
    <w:rsid w:val="00630EE7"/>
    <w:rsid w:val="00632085"/>
    <w:rsid w:val="00632A79"/>
    <w:rsid w:val="0063314B"/>
    <w:rsid w:val="00635A1B"/>
    <w:rsid w:val="00637681"/>
    <w:rsid w:val="00637790"/>
    <w:rsid w:val="00637A64"/>
    <w:rsid w:val="00637D20"/>
    <w:rsid w:val="00637E86"/>
    <w:rsid w:val="00637EFE"/>
    <w:rsid w:val="00640C7D"/>
    <w:rsid w:val="00640FAA"/>
    <w:rsid w:val="00641B1B"/>
    <w:rsid w:val="006426D0"/>
    <w:rsid w:val="00642BAD"/>
    <w:rsid w:val="00643198"/>
    <w:rsid w:val="00643690"/>
    <w:rsid w:val="00644508"/>
    <w:rsid w:val="006448D8"/>
    <w:rsid w:val="00644B27"/>
    <w:rsid w:val="006453D0"/>
    <w:rsid w:val="00645AEA"/>
    <w:rsid w:val="00646520"/>
    <w:rsid w:val="006467D2"/>
    <w:rsid w:val="006478E3"/>
    <w:rsid w:val="00647EF7"/>
    <w:rsid w:val="00650385"/>
    <w:rsid w:val="00650BB5"/>
    <w:rsid w:val="006514BA"/>
    <w:rsid w:val="00651B73"/>
    <w:rsid w:val="00651B82"/>
    <w:rsid w:val="00652950"/>
    <w:rsid w:val="00652E24"/>
    <w:rsid w:val="006537F5"/>
    <w:rsid w:val="006538EB"/>
    <w:rsid w:val="00653A23"/>
    <w:rsid w:val="00654BB8"/>
    <w:rsid w:val="0065559E"/>
    <w:rsid w:val="006555DE"/>
    <w:rsid w:val="0065565E"/>
    <w:rsid w:val="0065613B"/>
    <w:rsid w:val="00656C4A"/>
    <w:rsid w:val="00657103"/>
    <w:rsid w:val="00657768"/>
    <w:rsid w:val="00657971"/>
    <w:rsid w:val="00660325"/>
    <w:rsid w:val="00660C99"/>
    <w:rsid w:val="006611EC"/>
    <w:rsid w:val="006612DA"/>
    <w:rsid w:val="00661487"/>
    <w:rsid w:val="00661588"/>
    <w:rsid w:val="00661B65"/>
    <w:rsid w:val="006620EA"/>
    <w:rsid w:val="006621AC"/>
    <w:rsid w:val="00663533"/>
    <w:rsid w:val="006637D1"/>
    <w:rsid w:val="0066384B"/>
    <w:rsid w:val="0066397B"/>
    <w:rsid w:val="006642E9"/>
    <w:rsid w:val="006645CB"/>
    <w:rsid w:val="006647F4"/>
    <w:rsid w:val="0066536A"/>
    <w:rsid w:val="006659A0"/>
    <w:rsid w:val="00665A3D"/>
    <w:rsid w:val="00665A58"/>
    <w:rsid w:val="00666211"/>
    <w:rsid w:val="00666BAB"/>
    <w:rsid w:val="00670016"/>
    <w:rsid w:val="00670055"/>
    <w:rsid w:val="00670B3A"/>
    <w:rsid w:val="0067129A"/>
    <w:rsid w:val="00671E91"/>
    <w:rsid w:val="00672602"/>
    <w:rsid w:val="00672672"/>
    <w:rsid w:val="00672D76"/>
    <w:rsid w:val="00672EB1"/>
    <w:rsid w:val="00673484"/>
    <w:rsid w:val="00673528"/>
    <w:rsid w:val="00673756"/>
    <w:rsid w:val="006738E4"/>
    <w:rsid w:val="00673F64"/>
    <w:rsid w:val="00674012"/>
    <w:rsid w:val="0067414D"/>
    <w:rsid w:val="00674521"/>
    <w:rsid w:val="006748CE"/>
    <w:rsid w:val="006749A2"/>
    <w:rsid w:val="00674E4F"/>
    <w:rsid w:val="00674F8C"/>
    <w:rsid w:val="00675D03"/>
    <w:rsid w:val="006769D8"/>
    <w:rsid w:val="00676A2C"/>
    <w:rsid w:val="00676B80"/>
    <w:rsid w:val="00676E20"/>
    <w:rsid w:val="00676EA3"/>
    <w:rsid w:val="00676F39"/>
    <w:rsid w:val="00677C8E"/>
    <w:rsid w:val="00677FB6"/>
    <w:rsid w:val="0068033A"/>
    <w:rsid w:val="006805A1"/>
    <w:rsid w:val="006805F9"/>
    <w:rsid w:val="00680983"/>
    <w:rsid w:val="00680DF3"/>
    <w:rsid w:val="0068103A"/>
    <w:rsid w:val="006815DC"/>
    <w:rsid w:val="00681A64"/>
    <w:rsid w:val="00682AD7"/>
    <w:rsid w:val="00682D74"/>
    <w:rsid w:val="006830E6"/>
    <w:rsid w:val="0068436D"/>
    <w:rsid w:val="00684CF7"/>
    <w:rsid w:val="006853A7"/>
    <w:rsid w:val="00685836"/>
    <w:rsid w:val="00685DCD"/>
    <w:rsid w:val="0068669C"/>
    <w:rsid w:val="00686C20"/>
    <w:rsid w:val="006872F6"/>
    <w:rsid w:val="006876CC"/>
    <w:rsid w:val="00690028"/>
    <w:rsid w:val="00690205"/>
    <w:rsid w:val="00690BAD"/>
    <w:rsid w:val="006910A3"/>
    <w:rsid w:val="006912B4"/>
    <w:rsid w:val="0069211D"/>
    <w:rsid w:val="006924BE"/>
    <w:rsid w:val="0069279D"/>
    <w:rsid w:val="006928CA"/>
    <w:rsid w:val="00692D26"/>
    <w:rsid w:val="00693911"/>
    <w:rsid w:val="0069454F"/>
    <w:rsid w:val="00695E6A"/>
    <w:rsid w:val="0069647B"/>
    <w:rsid w:val="00696E26"/>
    <w:rsid w:val="006972CA"/>
    <w:rsid w:val="00697364"/>
    <w:rsid w:val="006976A2"/>
    <w:rsid w:val="00697C61"/>
    <w:rsid w:val="006A148F"/>
    <w:rsid w:val="006A155C"/>
    <w:rsid w:val="006A1D47"/>
    <w:rsid w:val="006A1ECF"/>
    <w:rsid w:val="006A2003"/>
    <w:rsid w:val="006A220A"/>
    <w:rsid w:val="006A234A"/>
    <w:rsid w:val="006A355E"/>
    <w:rsid w:val="006A3AC7"/>
    <w:rsid w:val="006A5A46"/>
    <w:rsid w:val="006A6881"/>
    <w:rsid w:val="006B01D8"/>
    <w:rsid w:val="006B16B9"/>
    <w:rsid w:val="006B5034"/>
    <w:rsid w:val="006B56D9"/>
    <w:rsid w:val="006B5CD6"/>
    <w:rsid w:val="006B5D8E"/>
    <w:rsid w:val="006B6236"/>
    <w:rsid w:val="006B6647"/>
    <w:rsid w:val="006B7BEA"/>
    <w:rsid w:val="006B7C52"/>
    <w:rsid w:val="006B7E9F"/>
    <w:rsid w:val="006C087A"/>
    <w:rsid w:val="006C1D5E"/>
    <w:rsid w:val="006C397C"/>
    <w:rsid w:val="006C3DD5"/>
    <w:rsid w:val="006C3E56"/>
    <w:rsid w:val="006C44CE"/>
    <w:rsid w:val="006C470B"/>
    <w:rsid w:val="006C528D"/>
    <w:rsid w:val="006C56E2"/>
    <w:rsid w:val="006C573B"/>
    <w:rsid w:val="006C62C1"/>
    <w:rsid w:val="006C689B"/>
    <w:rsid w:val="006C7151"/>
    <w:rsid w:val="006C752F"/>
    <w:rsid w:val="006D0D00"/>
    <w:rsid w:val="006D0EC3"/>
    <w:rsid w:val="006D1038"/>
    <w:rsid w:val="006D13BB"/>
    <w:rsid w:val="006D2840"/>
    <w:rsid w:val="006D4039"/>
    <w:rsid w:val="006D4694"/>
    <w:rsid w:val="006D486A"/>
    <w:rsid w:val="006D533D"/>
    <w:rsid w:val="006D654D"/>
    <w:rsid w:val="006D6FA1"/>
    <w:rsid w:val="006E025A"/>
    <w:rsid w:val="006E0365"/>
    <w:rsid w:val="006E0B10"/>
    <w:rsid w:val="006E0E20"/>
    <w:rsid w:val="006E1041"/>
    <w:rsid w:val="006E1412"/>
    <w:rsid w:val="006E166C"/>
    <w:rsid w:val="006E2010"/>
    <w:rsid w:val="006E2C33"/>
    <w:rsid w:val="006E3357"/>
    <w:rsid w:val="006E33A8"/>
    <w:rsid w:val="006E34CE"/>
    <w:rsid w:val="006E3BDF"/>
    <w:rsid w:val="006E3CEB"/>
    <w:rsid w:val="006E3ECE"/>
    <w:rsid w:val="006E4AF6"/>
    <w:rsid w:val="006E61D3"/>
    <w:rsid w:val="006E6B1A"/>
    <w:rsid w:val="006F016B"/>
    <w:rsid w:val="006F08A5"/>
    <w:rsid w:val="006F125A"/>
    <w:rsid w:val="006F1441"/>
    <w:rsid w:val="006F17EB"/>
    <w:rsid w:val="006F19D4"/>
    <w:rsid w:val="006F1C9C"/>
    <w:rsid w:val="006F272D"/>
    <w:rsid w:val="006F2848"/>
    <w:rsid w:val="006F2F4D"/>
    <w:rsid w:val="006F3062"/>
    <w:rsid w:val="006F345A"/>
    <w:rsid w:val="006F368C"/>
    <w:rsid w:val="006F3E6B"/>
    <w:rsid w:val="006F40F6"/>
    <w:rsid w:val="006F5B7C"/>
    <w:rsid w:val="006F680B"/>
    <w:rsid w:val="006F7308"/>
    <w:rsid w:val="00700D4D"/>
    <w:rsid w:val="0070118A"/>
    <w:rsid w:val="00701B78"/>
    <w:rsid w:val="0070223F"/>
    <w:rsid w:val="00702498"/>
    <w:rsid w:val="0070396E"/>
    <w:rsid w:val="00704171"/>
    <w:rsid w:val="007046DD"/>
    <w:rsid w:val="00705609"/>
    <w:rsid w:val="007058C8"/>
    <w:rsid w:val="00706733"/>
    <w:rsid w:val="0070696F"/>
    <w:rsid w:val="00707475"/>
    <w:rsid w:val="007101EC"/>
    <w:rsid w:val="00710265"/>
    <w:rsid w:val="00710E15"/>
    <w:rsid w:val="0071156B"/>
    <w:rsid w:val="00713DF9"/>
    <w:rsid w:val="007140C4"/>
    <w:rsid w:val="00714195"/>
    <w:rsid w:val="0071428B"/>
    <w:rsid w:val="007143A1"/>
    <w:rsid w:val="00714456"/>
    <w:rsid w:val="00714DBF"/>
    <w:rsid w:val="0071642B"/>
    <w:rsid w:val="007164A1"/>
    <w:rsid w:val="00716C9B"/>
    <w:rsid w:val="007176A9"/>
    <w:rsid w:val="0072030E"/>
    <w:rsid w:val="00720B55"/>
    <w:rsid w:val="00721F61"/>
    <w:rsid w:val="0072277A"/>
    <w:rsid w:val="00722B97"/>
    <w:rsid w:val="007236EC"/>
    <w:rsid w:val="007253B5"/>
    <w:rsid w:val="00726AEE"/>
    <w:rsid w:val="0072711D"/>
    <w:rsid w:val="00727F19"/>
    <w:rsid w:val="007305DE"/>
    <w:rsid w:val="007314F4"/>
    <w:rsid w:val="00731DEE"/>
    <w:rsid w:val="00731FF3"/>
    <w:rsid w:val="00733089"/>
    <w:rsid w:val="0073337D"/>
    <w:rsid w:val="007333B8"/>
    <w:rsid w:val="00733F04"/>
    <w:rsid w:val="00734AA8"/>
    <w:rsid w:val="00734F4B"/>
    <w:rsid w:val="00735817"/>
    <w:rsid w:val="007360B3"/>
    <w:rsid w:val="0073723F"/>
    <w:rsid w:val="00737505"/>
    <w:rsid w:val="00740BC2"/>
    <w:rsid w:val="00740BFC"/>
    <w:rsid w:val="0074220D"/>
    <w:rsid w:val="00743877"/>
    <w:rsid w:val="007459CA"/>
    <w:rsid w:val="00746594"/>
    <w:rsid w:val="0074671A"/>
    <w:rsid w:val="0074671D"/>
    <w:rsid w:val="00746995"/>
    <w:rsid w:val="00747E49"/>
    <w:rsid w:val="0075039C"/>
    <w:rsid w:val="007504FE"/>
    <w:rsid w:val="00751235"/>
    <w:rsid w:val="007513BB"/>
    <w:rsid w:val="00751459"/>
    <w:rsid w:val="007514A3"/>
    <w:rsid w:val="00753865"/>
    <w:rsid w:val="00753A52"/>
    <w:rsid w:val="00753A6D"/>
    <w:rsid w:val="0075455F"/>
    <w:rsid w:val="00754742"/>
    <w:rsid w:val="0075584F"/>
    <w:rsid w:val="00756046"/>
    <w:rsid w:val="00756097"/>
    <w:rsid w:val="0075676A"/>
    <w:rsid w:val="00757505"/>
    <w:rsid w:val="00760724"/>
    <w:rsid w:val="00760740"/>
    <w:rsid w:val="00760DA6"/>
    <w:rsid w:val="007619EF"/>
    <w:rsid w:val="0076242B"/>
    <w:rsid w:val="00763399"/>
    <w:rsid w:val="00763D50"/>
    <w:rsid w:val="00764024"/>
    <w:rsid w:val="00764221"/>
    <w:rsid w:val="0076427A"/>
    <w:rsid w:val="00764409"/>
    <w:rsid w:val="00764556"/>
    <w:rsid w:val="007656C9"/>
    <w:rsid w:val="007670A0"/>
    <w:rsid w:val="0076752B"/>
    <w:rsid w:val="00767620"/>
    <w:rsid w:val="0076771F"/>
    <w:rsid w:val="007708D4"/>
    <w:rsid w:val="007713AC"/>
    <w:rsid w:val="00772027"/>
    <w:rsid w:val="0077208D"/>
    <w:rsid w:val="007724B8"/>
    <w:rsid w:val="007732D1"/>
    <w:rsid w:val="00773672"/>
    <w:rsid w:val="00777798"/>
    <w:rsid w:val="00777EC4"/>
    <w:rsid w:val="00780E53"/>
    <w:rsid w:val="00781039"/>
    <w:rsid w:val="00781811"/>
    <w:rsid w:val="00782883"/>
    <w:rsid w:val="00783415"/>
    <w:rsid w:val="007836E0"/>
    <w:rsid w:val="0078574D"/>
    <w:rsid w:val="00785DD2"/>
    <w:rsid w:val="007865A5"/>
    <w:rsid w:val="0078671B"/>
    <w:rsid w:val="00786D4B"/>
    <w:rsid w:val="00790CA8"/>
    <w:rsid w:val="00790DF2"/>
    <w:rsid w:val="00790DF6"/>
    <w:rsid w:val="00791775"/>
    <w:rsid w:val="00792ADF"/>
    <w:rsid w:val="00793623"/>
    <w:rsid w:val="00793868"/>
    <w:rsid w:val="00794AA2"/>
    <w:rsid w:val="00794F20"/>
    <w:rsid w:val="007953F4"/>
    <w:rsid w:val="00795720"/>
    <w:rsid w:val="007958BC"/>
    <w:rsid w:val="00795C5A"/>
    <w:rsid w:val="00796007"/>
    <w:rsid w:val="007963E6"/>
    <w:rsid w:val="0079657C"/>
    <w:rsid w:val="007966E9"/>
    <w:rsid w:val="00796C13"/>
    <w:rsid w:val="0079736F"/>
    <w:rsid w:val="00797A50"/>
    <w:rsid w:val="00797FDB"/>
    <w:rsid w:val="007A034B"/>
    <w:rsid w:val="007A0E81"/>
    <w:rsid w:val="007A1B52"/>
    <w:rsid w:val="007A29A7"/>
    <w:rsid w:val="007A3061"/>
    <w:rsid w:val="007A5426"/>
    <w:rsid w:val="007A5523"/>
    <w:rsid w:val="007A57AB"/>
    <w:rsid w:val="007A5D58"/>
    <w:rsid w:val="007A5F04"/>
    <w:rsid w:val="007A6531"/>
    <w:rsid w:val="007A6696"/>
    <w:rsid w:val="007A66AC"/>
    <w:rsid w:val="007A6ED4"/>
    <w:rsid w:val="007A742C"/>
    <w:rsid w:val="007A75AE"/>
    <w:rsid w:val="007B05A4"/>
    <w:rsid w:val="007B05E1"/>
    <w:rsid w:val="007B08F3"/>
    <w:rsid w:val="007B0AB8"/>
    <w:rsid w:val="007B1172"/>
    <w:rsid w:val="007B16AC"/>
    <w:rsid w:val="007B1D70"/>
    <w:rsid w:val="007B1F1E"/>
    <w:rsid w:val="007B29A5"/>
    <w:rsid w:val="007B3D98"/>
    <w:rsid w:val="007B45C2"/>
    <w:rsid w:val="007B552E"/>
    <w:rsid w:val="007B61FF"/>
    <w:rsid w:val="007B7212"/>
    <w:rsid w:val="007B72E6"/>
    <w:rsid w:val="007C068D"/>
    <w:rsid w:val="007C1416"/>
    <w:rsid w:val="007C1E6B"/>
    <w:rsid w:val="007C23DA"/>
    <w:rsid w:val="007C24AD"/>
    <w:rsid w:val="007C2A3D"/>
    <w:rsid w:val="007C3CF0"/>
    <w:rsid w:val="007C3D0E"/>
    <w:rsid w:val="007C403B"/>
    <w:rsid w:val="007C4B3C"/>
    <w:rsid w:val="007C507F"/>
    <w:rsid w:val="007C511F"/>
    <w:rsid w:val="007C562E"/>
    <w:rsid w:val="007C6675"/>
    <w:rsid w:val="007C7865"/>
    <w:rsid w:val="007C7DF3"/>
    <w:rsid w:val="007D0369"/>
    <w:rsid w:val="007D0EE7"/>
    <w:rsid w:val="007D126B"/>
    <w:rsid w:val="007D22D1"/>
    <w:rsid w:val="007D23A1"/>
    <w:rsid w:val="007D2CFB"/>
    <w:rsid w:val="007D30CB"/>
    <w:rsid w:val="007D5BA1"/>
    <w:rsid w:val="007D6397"/>
    <w:rsid w:val="007D757D"/>
    <w:rsid w:val="007D77BD"/>
    <w:rsid w:val="007D7BBF"/>
    <w:rsid w:val="007E0B4F"/>
    <w:rsid w:val="007E15F0"/>
    <w:rsid w:val="007E1CA0"/>
    <w:rsid w:val="007E32D9"/>
    <w:rsid w:val="007E39CA"/>
    <w:rsid w:val="007E443F"/>
    <w:rsid w:val="007E5322"/>
    <w:rsid w:val="007E5523"/>
    <w:rsid w:val="007E5E6F"/>
    <w:rsid w:val="007E676D"/>
    <w:rsid w:val="007E7491"/>
    <w:rsid w:val="007E7DFA"/>
    <w:rsid w:val="007F08FD"/>
    <w:rsid w:val="007F0B42"/>
    <w:rsid w:val="007F1EDC"/>
    <w:rsid w:val="007F30EC"/>
    <w:rsid w:val="007F35D3"/>
    <w:rsid w:val="007F41DF"/>
    <w:rsid w:val="007F478A"/>
    <w:rsid w:val="007F4DA8"/>
    <w:rsid w:val="007F5509"/>
    <w:rsid w:val="007F7BB6"/>
    <w:rsid w:val="007F7C88"/>
    <w:rsid w:val="0080015F"/>
    <w:rsid w:val="00800458"/>
    <w:rsid w:val="00800773"/>
    <w:rsid w:val="008014A4"/>
    <w:rsid w:val="00801A88"/>
    <w:rsid w:val="008024CF"/>
    <w:rsid w:val="008028B2"/>
    <w:rsid w:val="0080297A"/>
    <w:rsid w:val="00802D6A"/>
    <w:rsid w:val="00802DBF"/>
    <w:rsid w:val="008032A6"/>
    <w:rsid w:val="00803506"/>
    <w:rsid w:val="00803AE1"/>
    <w:rsid w:val="00804372"/>
    <w:rsid w:val="00804AB9"/>
    <w:rsid w:val="00804C37"/>
    <w:rsid w:val="008055DA"/>
    <w:rsid w:val="00805E73"/>
    <w:rsid w:val="008071FC"/>
    <w:rsid w:val="008074B5"/>
    <w:rsid w:val="008075E7"/>
    <w:rsid w:val="00807689"/>
    <w:rsid w:val="00807D14"/>
    <w:rsid w:val="008129AA"/>
    <w:rsid w:val="00812C3E"/>
    <w:rsid w:val="00813826"/>
    <w:rsid w:val="008140AE"/>
    <w:rsid w:val="008145EE"/>
    <w:rsid w:val="00815A6A"/>
    <w:rsid w:val="00816F91"/>
    <w:rsid w:val="00817F04"/>
    <w:rsid w:val="008204D7"/>
    <w:rsid w:val="00820A70"/>
    <w:rsid w:val="00820DFB"/>
    <w:rsid w:val="008213D2"/>
    <w:rsid w:val="008216D6"/>
    <w:rsid w:val="00821DCF"/>
    <w:rsid w:val="0082389C"/>
    <w:rsid w:val="0082441D"/>
    <w:rsid w:val="00825A9B"/>
    <w:rsid w:val="00825B80"/>
    <w:rsid w:val="00826ABC"/>
    <w:rsid w:val="00826C19"/>
    <w:rsid w:val="00826E16"/>
    <w:rsid w:val="00827314"/>
    <w:rsid w:val="008278C3"/>
    <w:rsid w:val="0083057A"/>
    <w:rsid w:val="0083083C"/>
    <w:rsid w:val="00830A0C"/>
    <w:rsid w:val="00830EAC"/>
    <w:rsid w:val="00831CF9"/>
    <w:rsid w:val="00833B0D"/>
    <w:rsid w:val="00833F63"/>
    <w:rsid w:val="008344B9"/>
    <w:rsid w:val="00834C18"/>
    <w:rsid w:val="00834C81"/>
    <w:rsid w:val="008352C7"/>
    <w:rsid w:val="008357F2"/>
    <w:rsid w:val="00835F27"/>
    <w:rsid w:val="00836C04"/>
    <w:rsid w:val="00836D3C"/>
    <w:rsid w:val="008377C6"/>
    <w:rsid w:val="0083785C"/>
    <w:rsid w:val="008404F8"/>
    <w:rsid w:val="00840BDE"/>
    <w:rsid w:val="00840F78"/>
    <w:rsid w:val="0084108D"/>
    <w:rsid w:val="0084323F"/>
    <w:rsid w:val="00844CC8"/>
    <w:rsid w:val="00846AB9"/>
    <w:rsid w:val="0085049C"/>
    <w:rsid w:val="00850AE1"/>
    <w:rsid w:val="00850B8A"/>
    <w:rsid w:val="00851E23"/>
    <w:rsid w:val="00852A54"/>
    <w:rsid w:val="00852B75"/>
    <w:rsid w:val="00852B8F"/>
    <w:rsid w:val="00852D00"/>
    <w:rsid w:val="00854053"/>
    <w:rsid w:val="00854BEB"/>
    <w:rsid w:val="00854C20"/>
    <w:rsid w:val="0085561C"/>
    <w:rsid w:val="008564C5"/>
    <w:rsid w:val="0085792F"/>
    <w:rsid w:val="00860573"/>
    <w:rsid w:val="00860D51"/>
    <w:rsid w:val="00860EC7"/>
    <w:rsid w:val="00861358"/>
    <w:rsid w:val="008618F7"/>
    <w:rsid w:val="00861CAA"/>
    <w:rsid w:val="00861FF7"/>
    <w:rsid w:val="008627E5"/>
    <w:rsid w:val="00862CD7"/>
    <w:rsid w:val="00862ED0"/>
    <w:rsid w:val="008646EF"/>
    <w:rsid w:val="0086483D"/>
    <w:rsid w:val="00864C25"/>
    <w:rsid w:val="00864E54"/>
    <w:rsid w:val="008652AE"/>
    <w:rsid w:val="00865336"/>
    <w:rsid w:val="008660AB"/>
    <w:rsid w:val="0086660D"/>
    <w:rsid w:val="008670DA"/>
    <w:rsid w:val="008700E2"/>
    <w:rsid w:val="008709D9"/>
    <w:rsid w:val="008715D6"/>
    <w:rsid w:val="00872609"/>
    <w:rsid w:val="00872A1D"/>
    <w:rsid w:val="008730AB"/>
    <w:rsid w:val="00873A42"/>
    <w:rsid w:val="008740EC"/>
    <w:rsid w:val="0087424C"/>
    <w:rsid w:val="0087496A"/>
    <w:rsid w:val="00874CD4"/>
    <w:rsid w:val="00875F1B"/>
    <w:rsid w:val="00877F21"/>
    <w:rsid w:val="0088059F"/>
    <w:rsid w:val="00881F5F"/>
    <w:rsid w:val="008823F4"/>
    <w:rsid w:val="008830D6"/>
    <w:rsid w:val="00883634"/>
    <w:rsid w:val="00883AE7"/>
    <w:rsid w:val="00883B6A"/>
    <w:rsid w:val="00884312"/>
    <w:rsid w:val="008844B1"/>
    <w:rsid w:val="00884D5F"/>
    <w:rsid w:val="0088510B"/>
    <w:rsid w:val="008851E1"/>
    <w:rsid w:val="0088533C"/>
    <w:rsid w:val="008865E3"/>
    <w:rsid w:val="00886940"/>
    <w:rsid w:val="00886B83"/>
    <w:rsid w:val="00886BD4"/>
    <w:rsid w:val="00886E63"/>
    <w:rsid w:val="0088786F"/>
    <w:rsid w:val="008905AB"/>
    <w:rsid w:val="00890F04"/>
    <w:rsid w:val="0089119B"/>
    <w:rsid w:val="008912D1"/>
    <w:rsid w:val="00891B17"/>
    <w:rsid w:val="00891BE8"/>
    <w:rsid w:val="00891EB5"/>
    <w:rsid w:val="00891FD2"/>
    <w:rsid w:val="00893184"/>
    <w:rsid w:val="0089351A"/>
    <w:rsid w:val="00893F91"/>
    <w:rsid w:val="008941F8"/>
    <w:rsid w:val="008945B5"/>
    <w:rsid w:val="0089578B"/>
    <w:rsid w:val="0089594F"/>
    <w:rsid w:val="008967AB"/>
    <w:rsid w:val="008973AF"/>
    <w:rsid w:val="008976B1"/>
    <w:rsid w:val="00897FEE"/>
    <w:rsid w:val="008A079F"/>
    <w:rsid w:val="008A0A1B"/>
    <w:rsid w:val="008A0C00"/>
    <w:rsid w:val="008A2833"/>
    <w:rsid w:val="008A4AA1"/>
    <w:rsid w:val="008A5657"/>
    <w:rsid w:val="008A69BB"/>
    <w:rsid w:val="008A6E41"/>
    <w:rsid w:val="008A7212"/>
    <w:rsid w:val="008A7406"/>
    <w:rsid w:val="008A7857"/>
    <w:rsid w:val="008B0B51"/>
    <w:rsid w:val="008B1924"/>
    <w:rsid w:val="008B1968"/>
    <w:rsid w:val="008B2EA8"/>
    <w:rsid w:val="008B2F8C"/>
    <w:rsid w:val="008B3B65"/>
    <w:rsid w:val="008B3D6F"/>
    <w:rsid w:val="008B421B"/>
    <w:rsid w:val="008B5ABF"/>
    <w:rsid w:val="008B6081"/>
    <w:rsid w:val="008B7EAA"/>
    <w:rsid w:val="008C040D"/>
    <w:rsid w:val="008C0443"/>
    <w:rsid w:val="008C0C89"/>
    <w:rsid w:val="008C0D87"/>
    <w:rsid w:val="008C1384"/>
    <w:rsid w:val="008C1A7E"/>
    <w:rsid w:val="008C2600"/>
    <w:rsid w:val="008C2CB4"/>
    <w:rsid w:val="008C3A14"/>
    <w:rsid w:val="008C4E0F"/>
    <w:rsid w:val="008C59E0"/>
    <w:rsid w:val="008C5D11"/>
    <w:rsid w:val="008C696A"/>
    <w:rsid w:val="008C7DD0"/>
    <w:rsid w:val="008D0118"/>
    <w:rsid w:val="008D0120"/>
    <w:rsid w:val="008D06C8"/>
    <w:rsid w:val="008D0742"/>
    <w:rsid w:val="008D09DD"/>
    <w:rsid w:val="008D1B4B"/>
    <w:rsid w:val="008D365A"/>
    <w:rsid w:val="008D5B16"/>
    <w:rsid w:val="008D5FA2"/>
    <w:rsid w:val="008D65F9"/>
    <w:rsid w:val="008D6C70"/>
    <w:rsid w:val="008D779D"/>
    <w:rsid w:val="008E0AB9"/>
    <w:rsid w:val="008E0AE9"/>
    <w:rsid w:val="008E1D8C"/>
    <w:rsid w:val="008E1F87"/>
    <w:rsid w:val="008E2893"/>
    <w:rsid w:val="008E347F"/>
    <w:rsid w:val="008E3FD9"/>
    <w:rsid w:val="008E41CF"/>
    <w:rsid w:val="008E4792"/>
    <w:rsid w:val="008E5054"/>
    <w:rsid w:val="008E6232"/>
    <w:rsid w:val="008E6370"/>
    <w:rsid w:val="008E679A"/>
    <w:rsid w:val="008E6B2C"/>
    <w:rsid w:val="008E70DC"/>
    <w:rsid w:val="008E71BD"/>
    <w:rsid w:val="008E7FB2"/>
    <w:rsid w:val="008F0249"/>
    <w:rsid w:val="008F1A0D"/>
    <w:rsid w:val="008F2ADE"/>
    <w:rsid w:val="008F3140"/>
    <w:rsid w:val="008F335E"/>
    <w:rsid w:val="008F4D3F"/>
    <w:rsid w:val="008F4D6A"/>
    <w:rsid w:val="008F50BF"/>
    <w:rsid w:val="008F5D0A"/>
    <w:rsid w:val="008F65EC"/>
    <w:rsid w:val="008F6794"/>
    <w:rsid w:val="008F727F"/>
    <w:rsid w:val="008F7859"/>
    <w:rsid w:val="00900538"/>
    <w:rsid w:val="0090080C"/>
    <w:rsid w:val="00901180"/>
    <w:rsid w:val="009012B6"/>
    <w:rsid w:val="009014AA"/>
    <w:rsid w:val="009017A1"/>
    <w:rsid w:val="00901DB2"/>
    <w:rsid w:val="009024E3"/>
    <w:rsid w:val="00902999"/>
    <w:rsid w:val="00902E6D"/>
    <w:rsid w:val="00903246"/>
    <w:rsid w:val="00903E0F"/>
    <w:rsid w:val="0090402A"/>
    <w:rsid w:val="00905E45"/>
    <w:rsid w:val="00905EBA"/>
    <w:rsid w:val="00906188"/>
    <w:rsid w:val="009071DD"/>
    <w:rsid w:val="00907206"/>
    <w:rsid w:val="00907628"/>
    <w:rsid w:val="00910A7A"/>
    <w:rsid w:val="00912A42"/>
    <w:rsid w:val="00912ECD"/>
    <w:rsid w:val="00913F51"/>
    <w:rsid w:val="0091411F"/>
    <w:rsid w:val="00914FA3"/>
    <w:rsid w:val="009156E2"/>
    <w:rsid w:val="00915961"/>
    <w:rsid w:val="00916094"/>
    <w:rsid w:val="00920853"/>
    <w:rsid w:val="009208F0"/>
    <w:rsid w:val="0092098B"/>
    <w:rsid w:val="009213F6"/>
    <w:rsid w:val="009226AF"/>
    <w:rsid w:val="00922857"/>
    <w:rsid w:val="00922D5D"/>
    <w:rsid w:val="00922ECA"/>
    <w:rsid w:val="009241FA"/>
    <w:rsid w:val="00925409"/>
    <w:rsid w:val="00925B49"/>
    <w:rsid w:val="00925BC6"/>
    <w:rsid w:val="00926353"/>
    <w:rsid w:val="00926E2E"/>
    <w:rsid w:val="00927469"/>
    <w:rsid w:val="00927818"/>
    <w:rsid w:val="00927FD7"/>
    <w:rsid w:val="009306F2"/>
    <w:rsid w:val="00931819"/>
    <w:rsid w:val="00931B08"/>
    <w:rsid w:val="009322A8"/>
    <w:rsid w:val="00932402"/>
    <w:rsid w:val="009328B6"/>
    <w:rsid w:val="00932DDD"/>
    <w:rsid w:val="00934CE8"/>
    <w:rsid w:val="009359DB"/>
    <w:rsid w:val="00935C83"/>
    <w:rsid w:val="009365EB"/>
    <w:rsid w:val="00937C0C"/>
    <w:rsid w:val="009406A6"/>
    <w:rsid w:val="00940AF8"/>
    <w:rsid w:val="00941CAA"/>
    <w:rsid w:val="00942853"/>
    <w:rsid w:val="009431FE"/>
    <w:rsid w:val="00943629"/>
    <w:rsid w:val="009447BD"/>
    <w:rsid w:val="009448D8"/>
    <w:rsid w:val="009453AE"/>
    <w:rsid w:val="009459FD"/>
    <w:rsid w:val="00945B1C"/>
    <w:rsid w:val="009461ED"/>
    <w:rsid w:val="00946668"/>
    <w:rsid w:val="00946CDF"/>
    <w:rsid w:val="00947147"/>
    <w:rsid w:val="00947546"/>
    <w:rsid w:val="00947B07"/>
    <w:rsid w:val="0095050F"/>
    <w:rsid w:val="00950764"/>
    <w:rsid w:val="009509F2"/>
    <w:rsid w:val="00950EF3"/>
    <w:rsid w:val="009511BA"/>
    <w:rsid w:val="00951391"/>
    <w:rsid w:val="00951940"/>
    <w:rsid w:val="00951D3E"/>
    <w:rsid w:val="00952204"/>
    <w:rsid w:val="00952D6F"/>
    <w:rsid w:val="00953170"/>
    <w:rsid w:val="0095323D"/>
    <w:rsid w:val="009536B6"/>
    <w:rsid w:val="0095389D"/>
    <w:rsid w:val="00953FDE"/>
    <w:rsid w:val="00954155"/>
    <w:rsid w:val="00954A3B"/>
    <w:rsid w:val="00954F22"/>
    <w:rsid w:val="00955C0F"/>
    <w:rsid w:val="00955D11"/>
    <w:rsid w:val="00956152"/>
    <w:rsid w:val="009569FD"/>
    <w:rsid w:val="00956C47"/>
    <w:rsid w:val="00957120"/>
    <w:rsid w:val="0095743B"/>
    <w:rsid w:val="009603C5"/>
    <w:rsid w:val="00961453"/>
    <w:rsid w:val="00961503"/>
    <w:rsid w:val="009634E4"/>
    <w:rsid w:val="009640BD"/>
    <w:rsid w:val="00964447"/>
    <w:rsid w:val="00964FA1"/>
    <w:rsid w:val="0096679C"/>
    <w:rsid w:val="009667D1"/>
    <w:rsid w:val="00967DF5"/>
    <w:rsid w:val="00970BA7"/>
    <w:rsid w:val="00970C33"/>
    <w:rsid w:val="00971344"/>
    <w:rsid w:val="009715F9"/>
    <w:rsid w:val="00971CA5"/>
    <w:rsid w:val="00971E42"/>
    <w:rsid w:val="00973348"/>
    <w:rsid w:val="00973512"/>
    <w:rsid w:val="009743D3"/>
    <w:rsid w:val="00974518"/>
    <w:rsid w:val="00974801"/>
    <w:rsid w:val="00974AE3"/>
    <w:rsid w:val="009750A2"/>
    <w:rsid w:val="0097541B"/>
    <w:rsid w:val="0097668E"/>
    <w:rsid w:val="00976C8C"/>
    <w:rsid w:val="00977119"/>
    <w:rsid w:val="00980126"/>
    <w:rsid w:val="00980A9A"/>
    <w:rsid w:val="009816A4"/>
    <w:rsid w:val="009817D4"/>
    <w:rsid w:val="00981CCF"/>
    <w:rsid w:val="00982048"/>
    <w:rsid w:val="00982601"/>
    <w:rsid w:val="00982705"/>
    <w:rsid w:val="00982F43"/>
    <w:rsid w:val="009830FB"/>
    <w:rsid w:val="0098392E"/>
    <w:rsid w:val="00983E57"/>
    <w:rsid w:val="0098455B"/>
    <w:rsid w:val="00984BA7"/>
    <w:rsid w:val="00985CCC"/>
    <w:rsid w:val="00985D55"/>
    <w:rsid w:val="00985D86"/>
    <w:rsid w:val="00986FDF"/>
    <w:rsid w:val="0098757C"/>
    <w:rsid w:val="0098782F"/>
    <w:rsid w:val="00990787"/>
    <w:rsid w:val="00990912"/>
    <w:rsid w:val="00990CE4"/>
    <w:rsid w:val="00990E92"/>
    <w:rsid w:val="009913D3"/>
    <w:rsid w:val="0099175E"/>
    <w:rsid w:val="00991761"/>
    <w:rsid w:val="00992677"/>
    <w:rsid w:val="00993EB7"/>
    <w:rsid w:val="00993F00"/>
    <w:rsid w:val="00994127"/>
    <w:rsid w:val="009950C9"/>
    <w:rsid w:val="009953C5"/>
    <w:rsid w:val="00995EBF"/>
    <w:rsid w:val="009969CD"/>
    <w:rsid w:val="009A292C"/>
    <w:rsid w:val="009A4D32"/>
    <w:rsid w:val="009A5786"/>
    <w:rsid w:val="009A5BC1"/>
    <w:rsid w:val="009A5C79"/>
    <w:rsid w:val="009A5CDC"/>
    <w:rsid w:val="009A5FF7"/>
    <w:rsid w:val="009A64BA"/>
    <w:rsid w:val="009B083F"/>
    <w:rsid w:val="009B1D7D"/>
    <w:rsid w:val="009B3185"/>
    <w:rsid w:val="009B33CD"/>
    <w:rsid w:val="009B55C2"/>
    <w:rsid w:val="009B5CF2"/>
    <w:rsid w:val="009B6AE7"/>
    <w:rsid w:val="009B707F"/>
    <w:rsid w:val="009C09AB"/>
    <w:rsid w:val="009C2701"/>
    <w:rsid w:val="009C2D67"/>
    <w:rsid w:val="009C33B9"/>
    <w:rsid w:val="009C51D7"/>
    <w:rsid w:val="009C54C0"/>
    <w:rsid w:val="009C564C"/>
    <w:rsid w:val="009C745E"/>
    <w:rsid w:val="009C79FB"/>
    <w:rsid w:val="009C7F07"/>
    <w:rsid w:val="009D16DF"/>
    <w:rsid w:val="009D173B"/>
    <w:rsid w:val="009D183E"/>
    <w:rsid w:val="009D196D"/>
    <w:rsid w:val="009D2E0F"/>
    <w:rsid w:val="009D2E8F"/>
    <w:rsid w:val="009D4D3C"/>
    <w:rsid w:val="009D58BF"/>
    <w:rsid w:val="009D5CD3"/>
    <w:rsid w:val="009D617D"/>
    <w:rsid w:val="009D690D"/>
    <w:rsid w:val="009E0677"/>
    <w:rsid w:val="009E22A2"/>
    <w:rsid w:val="009E314B"/>
    <w:rsid w:val="009E37E5"/>
    <w:rsid w:val="009E4E75"/>
    <w:rsid w:val="009E5B24"/>
    <w:rsid w:val="009E6454"/>
    <w:rsid w:val="009E760A"/>
    <w:rsid w:val="009E783F"/>
    <w:rsid w:val="009E78CB"/>
    <w:rsid w:val="009E7989"/>
    <w:rsid w:val="009F03F4"/>
    <w:rsid w:val="009F17AC"/>
    <w:rsid w:val="009F17C8"/>
    <w:rsid w:val="009F1B6B"/>
    <w:rsid w:val="009F1DB9"/>
    <w:rsid w:val="009F2179"/>
    <w:rsid w:val="009F2500"/>
    <w:rsid w:val="009F2549"/>
    <w:rsid w:val="009F3E2A"/>
    <w:rsid w:val="009F463C"/>
    <w:rsid w:val="009F5F67"/>
    <w:rsid w:val="009F5FD8"/>
    <w:rsid w:val="009F64E0"/>
    <w:rsid w:val="009F6890"/>
    <w:rsid w:val="009F71E0"/>
    <w:rsid w:val="009F78DC"/>
    <w:rsid w:val="00A0044F"/>
    <w:rsid w:val="00A00803"/>
    <w:rsid w:val="00A0117D"/>
    <w:rsid w:val="00A01FE8"/>
    <w:rsid w:val="00A03607"/>
    <w:rsid w:val="00A03699"/>
    <w:rsid w:val="00A03B31"/>
    <w:rsid w:val="00A04326"/>
    <w:rsid w:val="00A048DD"/>
    <w:rsid w:val="00A05114"/>
    <w:rsid w:val="00A05CA5"/>
    <w:rsid w:val="00A06260"/>
    <w:rsid w:val="00A063EB"/>
    <w:rsid w:val="00A067F9"/>
    <w:rsid w:val="00A06ED9"/>
    <w:rsid w:val="00A07714"/>
    <w:rsid w:val="00A10387"/>
    <w:rsid w:val="00A1041F"/>
    <w:rsid w:val="00A10A60"/>
    <w:rsid w:val="00A10AB3"/>
    <w:rsid w:val="00A10E95"/>
    <w:rsid w:val="00A11360"/>
    <w:rsid w:val="00A11FCA"/>
    <w:rsid w:val="00A123E7"/>
    <w:rsid w:val="00A12848"/>
    <w:rsid w:val="00A1287C"/>
    <w:rsid w:val="00A136E1"/>
    <w:rsid w:val="00A137A2"/>
    <w:rsid w:val="00A13B71"/>
    <w:rsid w:val="00A1467F"/>
    <w:rsid w:val="00A14C06"/>
    <w:rsid w:val="00A15409"/>
    <w:rsid w:val="00A158F1"/>
    <w:rsid w:val="00A15E0B"/>
    <w:rsid w:val="00A16487"/>
    <w:rsid w:val="00A16970"/>
    <w:rsid w:val="00A1699E"/>
    <w:rsid w:val="00A16F6A"/>
    <w:rsid w:val="00A17CD7"/>
    <w:rsid w:val="00A2003A"/>
    <w:rsid w:val="00A20C95"/>
    <w:rsid w:val="00A2181C"/>
    <w:rsid w:val="00A21BC0"/>
    <w:rsid w:val="00A21E66"/>
    <w:rsid w:val="00A21F82"/>
    <w:rsid w:val="00A223BE"/>
    <w:rsid w:val="00A228EB"/>
    <w:rsid w:val="00A234DA"/>
    <w:rsid w:val="00A26368"/>
    <w:rsid w:val="00A26683"/>
    <w:rsid w:val="00A27115"/>
    <w:rsid w:val="00A27267"/>
    <w:rsid w:val="00A27B57"/>
    <w:rsid w:val="00A30858"/>
    <w:rsid w:val="00A311B9"/>
    <w:rsid w:val="00A315B2"/>
    <w:rsid w:val="00A3190D"/>
    <w:rsid w:val="00A31970"/>
    <w:rsid w:val="00A31C08"/>
    <w:rsid w:val="00A31D8F"/>
    <w:rsid w:val="00A32306"/>
    <w:rsid w:val="00A32B6C"/>
    <w:rsid w:val="00A32CB6"/>
    <w:rsid w:val="00A3334B"/>
    <w:rsid w:val="00A339EA"/>
    <w:rsid w:val="00A33C5D"/>
    <w:rsid w:val="00A34518"/>
    <w:rsid w:val="00A34D4B"/>
    <w:rsid w:val="00A352C1"/>
    <w:rsid w:val="00A35312"/>
    <w:rsid w:val="00A35364"/>
    <w:rsid w:val="00A359DB"/>
    <w:rsid w:val="00A360FB"/>
    <w:rsid w:val="00A36193"/>
    <w:rsid w:val="00A37F59"/>
    <w:rsid w:val="00A4013D"/>
    <w:rsid w:val="00A407C8"/>
    <w:rsid w:val="00A41960"/>
    <w:rsid w:val="00A41E3B"/>
    <w:rsid w:val="00A4228D"/>
    <w:rsid w:val="00A42AEF"/>
    <w:rsid w:val="00A434BC"/>
    <w:rsid w:val="00A439C8"/>
    <w:rsid w:val="00A43D16"/>
    <w:rsid w:val="00A44411"/>
    <w:rsid w:val="00A44B1A"/>
    <w:rsid w:val="00A45787"/>
    <w:rsid w:val="00A45FC4"/>
    <w:rsid w:val="00A462A2"/>
    <w:rsid w:val="00A4765F"/>
    <w:rsid w:val="00A50037"/>
    <w:rsid w:val="00A5016A"/>
    <w:rsid w:val="00A502A7"/>
    <w:rsid w:val="00A5183D"/>
    <w:rsid w:val="00A53100"/>
    <w:rsid w:val="00A536C6"/>
    <w:rsid w:val="00A53C01"/>
    <w:rsid w:val="00A53D54"/>
    <w:rsid w:val="00A543C3"/>
    <w:rsid w:val="00A543EF"/>
    <w:rsid w:val="00A54583"/>
    <w:rsid w:val="00A54904"/>
    <w:rsid w:val="00A54C0A"/>
    <w:rsid w:val="00A54C1D"/>
    <w:rsid w:val="00A55572"/>
    <w:rsid w:val="00A5596F"/>
    <w:rsid w:val="00A569DD"/>
    <w:rsid w:val="00A572D4"/>
    <w:rsid w:val="00A57390"/>
    <w:rsid w:val="00A573F1"/>
    <w:rsid w:val="00A5762A"/>
    <w:rsid w:val="00A600F7"/>
    <w:rsid w:val="00A60B37"/>
    <w:rsid w:val="00A60C1C"/>
    <w:rsid w:val="00A6258F"/>
    <w:rsid w:val="00A65C48"/>
    <w:rsid w:val="00A66755"/>
    <w:rsid w:val="00A66BCF"/>
    <w:rsid w:val="00A67CA0"/>
    <w:rsid w:val="00A71F1B"/>
    <w:rsid w:val="00A72BCA"/>
    <w:rsid w:val="00A732CE"/>
    <w:rsid w:val="00A74045"/>
    <w:rsid w:val="00A746CC"/>
    <w:rsid w:val="00A74A2C"/>
    <w:rsid w:val="00A74F51"/>
    <w:rsid w:val="00A7623D"/>
    <w:rsid w:val="00A76D6F"/>
    <w:rsid w:val="00A776D2"/>
    <w:rsid w:val="00A80BFB"/>
    <w:rsid w:val="00A8124E"/>
    <w:rsid w:val="00A818C0"/>
    <w:rsid w:val="00A81A22"/>
    <w:rsid w:val="00A81D01"/>
    <w:rsid w:val="00A827D7"/>
    <w:rsid w:val="00A83C43"/>
    <w:rsid w:val="00A83E1B"/>
    <w:rsid w:val="00A84BEB"/>
    <w:rsid w:val="00A84E28"/>
    <w:rsid w:val="00A84E3D"/>
    <w:rsid w:val="00A85F7E"/>
    <w:rsid w:val="00A862D0"/>
    <w:rsid w:val="00A86A48"/>
    <w:rsid w:val="00A87A8E"/>
    <w:rsid w:val="00A90223"/>
    <w:rsid w:val="00A9046F"/>
    <w:rsid w:val="00A92496"/>
    <w:rsid w:val="00A92E37"/>
    <w:rsid w:val="00A93B07"/>
    <w:rsid w:val="00A93BF1"/>
    <w:rsid w:val="00A93E53"/>
    <w:rsid w:val="00A942BA"/>
    <w:rsid w:val="00A9574B"/>
    <w:rsid w:val="00A95F09"/>
    <w:rsid w:val="00A9628B"/>
    <w:rsid w:val="00A969A3"/>
    <w:rsid w:val="00A96A21"/>
    <w:rsid w:val="00A96A30"/>
    <w:rsid w:val="00A96AA7"/>
    <w:rsid w:val="00A96B62"/>
    <w:rsid w:val="00A97455"/>
    <w:rsid w:val="00AA1C7E"/>
    <w:rsid w:val="00AA3772"/>
    <w:rsid w:val="00AA513D"/>
    <w:rsid w:val="00AA5495"/>
    <w:rsid w:val="00AA572E"/>
    <w:rsid w:val="00AA6002"/>
    <w:rsid w:val="00AA7BBA"/>
    <w:rsid w:val="00AB025F"/>
    <w:rsid w:val="00AB0CE7"/>
    <w:rsid w:val="00AB0DF1"/>
    <w:rsid w:val="00AB1A02"/>
    <w:rsid w:val="00AB2040"/>
    <w:rsid w:val="00AB2C1E"/>
    <w:rsid w:val="00AB2C67"/>
    <w:rsid w:val="00AB364C"/>
    <w:rsid w:val="00AB3BD1"/>
    <w:rsid w:val="00AB434D"/>
    <w:rsid w:val="00AB47F9"/>
    <w:rsid w:val="00AB4B19"/>
    <w:rsid w:val="00AB4DCB"/>
    <w:rsid w:val="00AB4ECD"/>
    <w:rsid w:val="00AB50BD"/>
    <w:rsid w:val="00AB50EA"/>
    <w:rsid w:val="00AB5233"/>
    <w:rsid w:val="00AB56BA"/>
    <w:rsid w:val="00AB666B"/>
    <w:rsid w:val="00AB6711"/>
    <w:rsid w:val="00AB69FD"/>
    <w:rsid w:val="00AB7DE0"/>
    <w:rsid w:val="00AC13FC"/>
    <w:rsid w:val="00AC14A2"/>
    <w:rsid w:val="00AC1638"/>
    <w:rsid w:val="00AC181A"/>
    <w:rsid w:val="00AC1F1B"/>
    <w:rsid w:val="00AC38E3"/>
    <w:rsid w:val="00AC45CA"/>
    <w:rsid w:val="00AC673E"/>
    <w:rsid w:val="00AC67E1"/>
    <w:rsid w:val="00AC7983"/>
    <w:rsid w:val="00AC7BB8"/>
    <w:rsid w:val="00AD02A4"/>
    <w:rsid w:val="00AD1D0A"/>
    <w:rsid w:val="00AD2F49"/>
    <w:rsid w:val="00AD47FE"/>
    <w:rsid w:val="00AD4E3F"/>
    <w:rsid w:val="00AD501D"/>
    <w:rsid w:val="00AD5402"/>
    <w:rsid w:val="00AD6AFF"/>
    <w:rsid w:val="00AD6FCB"/>
    <w:rsid w:val="00AE021E"/>
    <w:rsid w:val="00AE0E65"/>
    <w:rsid w:val="00AE144F"/>
    <w:rsid w:val="00AE1D0A"/>
    <w:rsid w:val="00AE31C6"/>
    <w:rsid w:val="00AE347C"/>
    <w:rsid w:val="00AE3C6D"/>
    <w:rsid w:val="00AE44AF"/>
    <w:rsid w:val="00AE536A"/>
    <w:rsid w:val="00AE5570"/>
    <w:rsid w:val="00AE5CEC"/>
    <w:rsid w:val="00AE65F9"/>
    <w:rsid w:val="00AE688F"/>
    <w:rsid w:val="00AE6CB8"/>
    <w:rsid w:val="00AE6FB0"/>
    <w:rsid w:val="00AE70F5"/>
    <w:rsid w:val="00AE7B51"/>
    <w:rsid w:val="00AE7C57"/>
    <w:rsid w:val="00AF12C5"/>
    <w:rsid w:val="00AF1CC7"/>
    <w:rsid w:val="00AF21F9"/>
    <w:rsid w:val="00AF2365"/>
    <w:rsid w:val="00AF2C96"/>
    <w:rsid w:val="00AF32FD"/>
    <w:rsid w:val="00AF35F3"/>
    <w:rsid w:val="00AF48D6"/>
    <w:rsid w:val="00AF5216"/>
    <w:rsid w:val="00AF568E"/>
    <w:rsid w:val="00AF61A7"/>
    <w:rsid w:val="00AF65E6"/>
    <w:rsid w:val="00AF77C5"/>
    <w:rsid w:val="00B0027C"/>
    <w:rsid w:val="00B0082F"/>
    <w:rsid w:val="00B00FE8"/>
    <w:rsid w:val="00B034A3"/>
    <w:rsid w:val="00B03CFA"/>
    <w:rsid w:val="00B04BE9"/>
    <w:rsid w:val="00B04D16"/>
    <w:rsid w:val="00B04E40"/>
    <w:rsid w:val="00B05110"/>
    <w:rsid w:val="00B0513F"/>
    <w:rsid w:val="00B063B7"/>
    <w:rsid w:val="00B071DD"/>
    <w:rsid w:val="00B077F8"/>
    <w:rsid w:val="00B079D4"/>
    <w:rsid w:val="00B07CD9"/>
    <w:rsid w:val="00B10041"/>
    <w:rsid w:val="00B10881"/>
    <w:rsid w:val="00B10D6E"/>
    <w:rsid w:val="00B1119B"/>
    <w:rsid w:val="00B117AB"/>
    <w:rsid w:val="00B11DF6"/>
    <w:rsid w:val="00B12BC3"/>
    <w:rsid w:val="00B12EDF"/>
    <w:rsid w:val="00B130AF"/>
    <w:rsid w:val="00B13181"/>
    <w:rsid w:val="00B1393E"/>
    <w:rsid w:val="00B13B36"/>
    <w:rsid w:val="00B13E26"/>
    <w:rsid w:val="00B140ED"/>
    <w:rsid w:val="00B1440A"/>
    <w:rsid w:val="00B14411"/>
    <w:rsid w:val="00B14749"/>
    <w:rsid w:val="00B15406"/>
    <w:rsid w:val="00B15F19"/>
    <w:rsid w:val="00B16CB4"/>
    <w:rsid w:val="00B16F0D"/>
    <w:rsid w:val="00B20088"/>
    <w:rsid w:val="00B20290"/>
    <w:rsid w:val="00B2033C"/>
    <w:rsid w:val="00B2049E"/>
    <w:rsid w:val="00B20B91"/>
    <w:rsid w:val="00B21353"/>
    <w:rsid w:val="00B21380"/>
    <w:rsid w:val="00B2234C"/>
    <w:rsid w:val="00B224A2"/>
    <w:rsid w:val="00B2262A"/>
    <w:rsid w:val="00B232A0"/>
    <w:rsid w:val="00B232B1"/>
    <w:rsid w:val="00B24498"/>
    <w:rsid w:val="00B24642"/>
    <w:rsid w:val="00B246BA"/>
    <w:rsid w:val="00B24E7B"/>
    <w:rsid w:val="00B24ED0"/>
    <w:rsid w:val="00B25010"/>
    <w:rsid w:val="00B25CE5"/>
    <w:rsid w:val="00B270E1"/>
    <w:rsid w:val="00B2721C"/>
    <w:rsid w:val="00B27802"/>
    <w:rsid w:val="00B279CD"/>
    <w:rsid w:val="00B314E8"/>
    <w:rsid w:val="00B34674"/>
    <w:rsid w:val="00B349D9"/>
    <w:rsid w:val="00B34A07"/>
    <w:rsid w:val="00B35276"/>
    <w:rsid w:val="00B35599"/>
    <w:rsid w:val="00B36877"/>
    <w:rsid w:val="00B37197"/>
    <w:rsid w:val="00B40254"/>
    <w:rsid w:val="00B4040C"/>
    <w:rsid w:val="00B41113"/>
    <w:rsid w:val="00B41D2D"/>
    <w:rsid w:val="00B42AD0"/>
    <w:rsid w:val="00B4397B"/>
    <w:rsid w:val="00B43A3E"/>
    <w:rsid w:val="00B43B05"/>
    <w:rsid w:val="00B43F4C"/>
    <w:rsid w:val="00B44601"/>
    <w:rsid w:val="00B452B6"/>
    <w:rsid w:val="00B45A6D"/>
    <w:rsid w:val="00B45BD0"/>
    <w:rsid w:val="00B4602B"/>
    <w:rsid w:val="00B46724"/>
    <w:rsid w:val="00B46997"/>
    <w:rsid w:val="00B46BDB"/>
    <w:rsid w:val="00B46E75"/>
    <w:rsid w:val="00B47CE2"/>
    <w:rsid w:val="00B5022B"/>
    <w:rsid w:val="00B509A2"/>
    <w:rsid w:val="00B52606"/>
    <w:rsid w:val="00B52972"/>
    <w:rsid w:val="00B52B37"/>
    <w:rsid w:val="00B54028"/>
    <w:rsid w:val="00B5403E"/>
    <w:rsid w:val="00B54A87"/>
    <w:rsid w:val="00B55F57"/>
    <w:rsid w:val="00B561CD"/>
    <w:rsid w:val="00B602EB"/>
    <w:rsid w:val="00B60806"/>
    <w:rsid w:val="00B61FB7"/>
    <w:rsid w:val="00B625F1"/>
    <w:rsid w:val="00B627A2"/>
    <w:rsid w:val="00B634C4"/>
    <w:rsid w:val="00B63AA2"/>
    <w:rsid w:val="00B64956"/>
    <w:rsid w:val="00B64B05"/>
    <w:rsid w:val="00B64CDD"/>
    <w:rsid w:val="00B6563D"/>
    <w:rsid w:val="00B6649E"/>
    <w:rsid w:val="00B66C87"/>
    <w:rsid w:val="00B671E6"/>
    <w:rsid w:val="00B67689"/>
    <w:rsid w:val="00B67F11"/>
    <w:rsid w:val="00B70490"/>
    <w:rsid w:val="00B7129E"/>
    <w:rsid w:val="00B72E87"/>
    <w:rsid w:val="00B7365F"/>
    <w:rsid w:val="00B76440"/>
    <w:rsid w:val="00B764ED"/>
    <w:rsid w:val="00B81719"/>
    <w:rsid w:val="00B82227"/>
    <w:rsid w:val="00B8241F"/>
    <w:rsid w:val="00B8276D"/>
    <w:rsid w:val="00B82AE3"/>
    <w:rsid w:val="00B82D2C"/>
    <w:rsid w:val="00B83376"/>
    <w:rsid w:val="00B8496E"/>
    <w:rsid w:val="00B85668"/>
    <w:rsid w:val="00B8635C"/>
    <w:rsid w:val="00B86454"/>
    <w:rsid w:val="00B86951"/>
    <w:rsid w:val="00B86D46"/>
    <w:rsid w:val="00B86E46"/>
    <w:rsid w:val="00B87777"/>
    <w:rsid w:val="00B87B06"/>
    <w:rsid w:val="00B87CAB"/>
    <w:rsid w:val="00B905D2"/>
    <w:rsid w:val="00B90853"/>
    <w:rsid w:val="00B91178"/>
    <w:rsid w:val="00B91A2E"/>
    <w:rsid w:val="00B920D8"/>
    <w:rsid w:val="00B928C4"/>
    <w:rsid w:val="00B9461F"/>
    <w:rsid w:val="00B94BB0"/>
    <w:rsid w:val="00B94C1D"/>
    <w:rsid w:val="00B9518D"/>
    <w:rsid w:val="00B9564C"/>
    <w:rsid w:val="00B956B4"/>
    <w:rsid w:val="00B96143"/>
    <w:rsid w:val="00B96661"/>
    <w:rsid w:val="00B96665"/>
    <w:rsid w:val="00B97505"/>
    <w:rsid w:val="00BA0434"/>
    <w:rsid w:val="00BA168F"/>
    <w:rsid w:val="00BA1874"/>
    <w:rsid w:val="00BA3726"/>
    <w:rsid w:val="00BA38F3"/>
    <w:rsid w:val="00BA3E45"/>
    <w:rsid w:val="00BA44AE"/>
    <w:rsid w:val="00BA44C0"/>
    <w:rsid w:val="00BA487B"/>
    <w:rsid w:val="00BA4F32"/>
    <w:rsid w:val="00BA5630"/>
    <w:rsid w:val="00BA571D"/>
    <w:rsid w:val="00BA58F0"/>
    <w:rsid w:val="00BA591D"/>
    <w:rsid w:val="00BA59FE"/>
    <w:rsid w:val="00BA7669"/>
    <w:rsid w:val="00BB17E9"/>
    <w:rsid w:val="00BB17F6"/>
    <w:rsid w:val="00BB20A9"/>
    <w:rsid w:val="00BB21EA"/>
    <w:rsid w:val="00BB25BC"/>
    <w:rsid w:val="00BB2BED"/>
    <w:rsid w:val="00BB2DF5"/>
    <w:rsid w:val="00BB3A03"/>
    <w:rsid w:val="00BB3BDA"/>
    <w:rsid w:val="00BB3E6E"/>
    <w:rsid w:val="00BB421F"/>
    <w:rsid w:val="00BB4AD5"/>
    <w:rsid w:val="00BB4BC3"/>
    <w:rsid w:val="00BB4C42"/>
    <w:rsid w:val="00BB545C"/>
    <w:rsid w:val="00BB645D"/>
    <w:rsid w:val="00BB6DBA"/>
    <w:rsid w:val="00BC01D7"/>
    <w:rsid w:val="00BC0596"/>
    <w:rsid w:val="00BC0D96"/>
    <w:rsid w:val="00BC0DEE"/>
    <w:rsid w:val="00BC18BE"/>
    <w:rsid w:val="00BC1926"/>
    <w:rsid w:val="00BC25A2"/>
    <w:rsid w:val="00BC2885"/>
    <w:rsid w:val="00BC2D63"/>
    <w:rsid w:val="00BC447F"/>
    <w:rsid w:val="00BC5887"/>
    <w:rsid w:val="00BC5E3E"/>
    <w:rsid w:val="00BC6626"/>
    <w:rsid w:val="00BC6E26"/>
    <w:rsid w:val="00BC730E"/>
    <w:rsid w:val="00BD070D"/>
    <w:rsid w:val="00BD07BF"/>
    <w:rsid w:val="00BD0A1E"/>
    <w:rsid w:val="00BD0F0C"/>
    <w:rsid w:val="00BD1E80"/>
    <w:rsid w:val="00BD2C3E"/>
    <w:rsid w:val="00BD3C7A"/>
    <w:rsid w:val="00BD5671"/>
    <w:rsid w:val="00BD5B60"/>
    <w:rsid w:val="00BD5B6F"/>
    <w:rsid w:val="00BD5EA9"/>
    <w:rsid w:val="00BE00B0"/>
    <w:rsid w:val="00BE0E8C"/>
    <w:rsid w:val="00BE0F67"/>
    <w:rsid w:val="00BE181F"/>
    <w:rsid w:val="00BE2067"/>
    <w:rsid w:val="00BE4BCE"/>
    <w:rsid w:val="00BE747B"/>
    <w:rsid w:val="00BF0169"/>
    <w:rsid w:val="00BF02F3"/>
    <w:rsid w:val="00BF2C78"/>
    <w:rsid w:val="00BF38AF"/>
    <w:rsid w:val="00BF3F03"/>
    <w:rsid w:val="00BF3FD9"/>
    <w:rsid w:val="00BF418F"/>
    <w:rsid w:val="00BF5AEA"/>
    <w:rsid w:val="00BF5D5E"/>
    <w:rsid w:val="00BF63F4"/>
    <w:rsid w:val="00BF679E"/>
    <w:rsid w:val="00BF6C8F"/>
    <w:rsid w:val="00BF72AF"/>
    <w:rsid w:val="00BF74F4"/>
    <w:rsid w:val="00C000D0"/>
    <w:rsid w:val="00C015FB"/>
    <w:rsid w:val="00C01958"/>
    <w:rsid w:val="00C019AD"/>
    <w:rsid w:val="00C01E1C"/>
    <w:rsid w:val="00C037D8"/>
    <w:rsid w:val="00C043A0"/>
    <w:rsid w:val="00C04768"/>
    <w:rsid w:val="00C04CA9"/>
    <w:rsid w:val="00C04F24"/>
    <w:rsid w:val="00C05564"/>
    <w:rsid w:val="00C06D54"/>
    <w:rsid w:val="00C0783D"/>
    <w:rsid w:val="00C07A69"/>
    <w:rsid w:val="00C07C39"/>
    <w:rsid w:val="00C104D6"/>
    <w:rsid w:val="00C1061F"/>
    <w:rsid w:val="00C10CE3"/>
    <w:rsid w:val="00C11948"/>
    <w:rsid w:val="00C126F4"/>
    <w:rsid w:val="00C13A97"/>
    <w:rsid w:val="00C13A9C"/>
    <w:rsid w:val="00C1513C"/>
    <w:rsid w:val="00C15421"/>
    <w:rsid w:val="00C1754E"/>
    <w:rsid w:val="00C17814"/>
    <w:rsid w:val="00C17886"/>
    <w:rsid w:val="00C202BB"/>
    <w:rsid w:val="00C20E21"/>
    <w:rsid w:val="00C21DF5"/>
    <w:rsid w:val="00C239B0"/>
    <w:rsid w:val="00C24571"/>
    <w:rsid w:val="00C24573"/>
    <w:rsid w:val="00C2475C"/>
    <w:rsid w:val="00C24B9D"/>
    <w:rsid w:val="00C250E9"/>
    <w:rsid w:val="00C25D68"/>
    <w:rsid w:val="00C2661F"/>
    <w:rsid w:val="00C2667F"/>
    <w:rsid w:val="00C30093"/>
    <w:rsid w:val="00C305E1"/>
    <w:rsid w:val="00C30B1E"/>
    <w:rsid w:val="00C30E50"/>
    <w:rsid w:val="00C31B84"/>
    <w:rsid w:val="00C3232B"/>
    <w:rsid w:val="00C32FF8"/>
    <w:rsid w:val="00C3459C"/>
    <w:rsid w:val="00C35165"/>
    <w:rsid w:val="00C3563A"/>
    <w:rsid w:val="00C35E1A"/>
    <w:rsid w:val="00C371C8"/>
    <w:rsid w:val="00C40F34"/>
    <w:rsid w:val="00C41453"/>
    <w:rsid w:val="00C4149A"/>
    <w:rsid w:val="00C4224B"/>
    <w:rsid w:val="00C42431"/>
    <w:rsid w:val="00C427E8"/>
    <w:rsid w:val="00C42982"/>
    <w:rsid w:val="00C4458A"/>
    <w:rsid w:val="00C449BA"/>
    <w:rsid w:val="00C44DAB"/>
    <w:rsid w:val="00C4532F"/>
    <w:rsid w:val="00C46227"/>
    <w:rsid w:val="00C469E9"/>
    <w:rsid w:val="00C47D30"/>
    <w:rsid w:val="00C50D75"/>
    <w:rsid w:val="00C51229"/>
    <w:rsid w:val="00C51B3B"/>
    <w:rsid w:val="00C51EFE"/>
    <w:rsid w:val="00C52169"/>
    <w:rsid w:val="00C52519"/>
    <w:rsid w:val="00C5292C"/>
    <w:rsid w:val="00C545B1"/>
    <w:rsid w:val="00C54C11"/>
    <w:rsid w:val="00C5594C"/>
    <w:rsid w:val="00C559D8"/>
    <w:rsid w:val="00C55C67"/>
    <w:rsid w:val="00C561C3"/>
    <w:rsid w:val="00C5662F"/>
    <w:rsid w:val="00C57689"/>
    <w:rsid w:val="00C57743"/>
    <w:rsid w:val="00C57CBC"/>
    <w:rsid w:val="00C607A2"/>
    <w:rsid w:val="00C60EBC"/>
    <w:rsid w:val="00C627BF"/>
    <w:rsid w:val="00C62A0B"/>
    <w:rsid w:val="00C634C2"/>
    <w:rsid w:val="00C63DAA"/>
    <w:rsid w:val="00C654E2"/>
    <w:rsid w:val="00C66A5F"/>
    <w:rsid w:val="00C66B63"/>
    <w:rsid w:val="00C67BC3"/>
    <w:rsid w:val="00C67F3E"/>
    <w:rsid w:val="00C701FF"/>
    <w:rsid w:val="00C7025E"/>
    <w:rsid w:val="00C70625"/>
    <w:rsid w:val="00C71073"/>
    <w:rsid w:val="00C71BD5"/>
    <w:rsid w:val="00C71D1D"/>
    <w:rsid w:val="00C73075"/>
    <w:rsid w:val="00C73CBE"/>
    <w:rsid w:val="00C74A36"/>
    <w:rsid w:val="00C76379"/>
    <w:rsid w:val="00C770C6"/>
    <w:rsid w:val="00C77806"/>
    <w:rsid w:val="00C81311"/>
    <w:rsid w:val="00C813C1"/>
    <w:rsid w:val="00C81C64"/>
    <w:rsid w:val="00C82065"/>
    <w:rsid w:val="00C82785"/>
    <w:rsid w:val="00C8333F"/>
    <w:rsid w:val="00C83D22"/>
    <w:rsid w:val="00C8554E"/>
    <w:rsid w:val="00C85D01"/>
    <w:rsid w:val="00C86447"/>
    <w:rsid w:val="00C90398"/>
    <w:rsid w:val="00C9042B"/>
    <w:rsid w:val="00C91145"/>
    <w:rsid w:val="00C914BF"/>
    <w:rsid w:val="00C91818"/>
    <w:rsid w:val="00C918CB"/>
    <w:rsid w:val="00C9220C"/>
    <w:rsid w:val="00C9269F"/>
    <w:rsid w:val="00C93FC4"/>
    <w:rsid w:val="00C941DB"/>
    <w:rsid w:val="00C948F3"/>
    <w:rsid w:val="00C9637B"/>
    <w:rsid w:val="00C96496"/>
    <w:rsid w:val="00C967C5"/>
    <w:rsid w:val="00CA0392"/>
    <w:rsid w:val="00CA22A9"/>
    <w:rsid w:val="00CA2F70"/>
    <w:rsid w:val="00CA4648"/>
    <w:rsid w:val="00CA509F"/>
    <w:rsid w:val="00CA54AC"/>
    <w:rsid w:val="00CA5BFD"/>
    <w:rsid w:val="00CA61AA"/>
    <w:rsid w:val="00CA6A7F"/>
    <w:rsid w:val="00CA774F"/>
    <w:rsid w:val="00CA77C5"/>
    <w:rsid w:val="00CA7FB3"/>
    <w:rsid w:val="00CB1FE5"/>
    <w:rsid w:val="00CB24D9"/>
    <w:rsid w:val="00CB30CE"/>
    <w:rsid w:val="00CB4393"/>
    <w:rsid w:val="00CB52EE"/>
    <w:rsid w:val="00CB63AD"/>
    <w:rsid w:val="00CB656F"/>
    <w:rsid w:val="00CB6C3D"/>
    <w:rsid w:val="00CB6C95"/>
    <w:rsid w:val="00CB7FEB"/>
    <w:rsid w:val="00CC0AB3"/>
    <w:rsid w:val="00CC1407"/>
    <w:rsid w:val="00CC1FC7"/>
    <w:rsid w:val="00CC28FB"/>
    <w:rsid w:val="00CC3EDC"/>
    <w:rsid w:val="00CC437B"/>
    <w:rsid w:val="00CC4985"/>
    <w:rsid w:val="00CC4E74"/>
    <w:rsid w:val="00CC57B4"/>
    <w:rsid w:val="00CC6376"/>
    <w:rsid w:val="00CC638A"/>
    <w:rsid w:val="00CC70FD"/>
    <w:rsid w:val="00CC73CE"/>
    <w:rsid w:val="00CC7896"/>
    <w:rsid w:val="00CC78AC"/>
    <w:rsid w:val="00CC7B68"/>
    <w:rsid w:val="00CD04D7"/>
    <w:rsid w:val="00CD0838"/>
    <w:rsid w:val="00CD0ED4"/>
    <w:rsid w:val="00CD14F3"/>
    <w:rsid w:val="00CD15D0"/>
    <w:rsid w:val="00CD19AD"/>
    <w:rsid w:val="00CD2721"/>
    <w:rsid w:val="00CD2FE5"/>
    <w:rsid w:val="00CD3CE3"/>
    <w:rsid w:val="00CD58EE"/>
    <w:rsid w:val="00CD63F9"/>
    <w:rsid w:val="00CD643B"/>
    <w:rsid w:val="00CD64F4"/>
    <w:rsid w:val="00CD664C"/>
    <w:rsid w:val="00CD7260"/>
    <w:rsid w:val="00CE1974"/>
    <w:rsid w:val="00CE2FBF"/>
    <w:rsid w:val="00CE3FC8"/>
    <w:rsid w:val="00CE4096"/>
    <w:rsid w:val="00CE51F8"/>
    <w:rsid w:val="00CE67DF"/>
    <w:rsid w:val="00CE7147"/>
    <w:rsid w:val="00CF008D"/>
    <w:rsid w:val="00CF0A71"/>
    <w:rsid w:val="00CF1083"/>
    <w:rsid w:val="00CF1363"/>
    <w:rsid w:val="00CF16B7"/>
    <w:rsid w:val="00CF184F"/>
    <w:rsid w:val="00CF249B"/>
    <w:rsid w:val="00CF259B"/>
    <w:rsid w:val="00CF42DC"/>
    <w:rsid w:val="00CF4922"/>
    <w:rsid w:val="00CF4B11"/>
    <w:rsid w:val="00CF4E7A"/>
    <w:rsid w:val="00CF56DA"/>
    <w:rsid w:val="00CF59A9"/>
    <w:rsid w:val="00CF65A9"/>
    <w:rsid w:val="00CF66BE"/>
    <w:rsid w:val="00CF6A65"/>
    <w:rsid w:val="00CF758F"/>
    <w:rsid w:val="00CF7CED"/>
    <w:rsid w:val="00CF7D45"/>
    <w:rsid w:val="00CF7DA8"/>
    <w:rsid w:val="00CF7EEF"/>
    <w:rsid w:val="00D014A1"/>
    <w:rsid w:val="00D014DD"/>
    <w:rsid w:val="00D0271A"/>
    <w:rsid w:val="00D02A11"/>
    <w:rsid w:val="00D03427"/>
    <w:rsid w:val="00D04E8C"/>
    <w:rsid w:val="00D050EA"/>
    <w:rsid w:val="00D05807"/>
    <w:rsid w:val="00D05BB5"/>
    <w:rsid w:val="00D05D07"/>
    <w:rsid w:val="00D05D08"/>
    <w:rsid w:val="00D07018"/>
    <w:rsid w:val="00D07DA4"/>
    <w:rsid w:val="00D101E6"/>
    <w:rsid w:val="00D1090D"/>
    <w:rsid w:val="00D10FD4"/>
    <w:rsid w:val="00D111B3"/>
    <w:rsid w:val="00D11BB4"/>
    <w:rsid w:val="00D1222C"/>
    <w:rsid w:val="00D13971"/>
    <w:rsid w:val="00D15C57"/>
    <w:rsid w:val="00D15DAB"/>
    <w:rsid w:val="00D16381"/>
    <w:rsid w:val="00D1760B"/>
    <w:rsid w:val="00D17992"/>
    <w:rsid w:val="00D17AFB"/>
    <w:rsid w:val="00D17CF6"/>
    <w:rsid w:val="00D21029"/>
    <w:rsid w:val="00D21828"/>
    <w:rsid w:val="00D22991"/>
    <w:rsid w:val="00D23080"/>
    <w:rsid w:val="00D23197"/>
    <w:rsid w:val="00D23442"/>
    <w:rsid w:val="00D24075"/>
    <w:rsid w:val="00D242FF"/>
    <w:rsid w:val="00D24B26"/>
    <w:rsid w:val="00D24DEE"/>
    <w:rsid w:val="00D26327"/>
    <w:rsid w:val="00D263A7"/>
    <w:rsid w:val="00D26BDE"/>
    <w:rsid w:val="00D26ED1"/>
    <w:rsid w:val="00D3027C"/>
    <w:rsid w:val="00D324FF"/>
    <w:rsid w:val="00D32918"/>
    <w:rsid w:val="00D32D52"/>
    <w:rsid w:val="00D3353B"/>
    <w:rsid w:val="00D33ACC"/>
    <w:rsid w:val="00D33D89"/>
    <w:rsid w:val="00D33F2C"/>
    <w:rsid w:val="00D342E1"/>
    <w:rsid w:val="00D34724"/>
    <w:rsid w:val="00D348FA"/>
    <w:rsid w:val="00D35D6A"/>
    <w:rsid w:val="00D3609A"/>
    <w:rsid w:val="00D36904"/>
    <w:rsid w:val="00D369F5"/>
    <w:rsid w:val="00D407E4"/>
    <w:rsid w:val="00D4095B"/>
    <w:rsid w:val="00D42C13"/>
    <w:rsid w:val="00D435F4"/>
    <w:rsid w:val="00D43AB2"/>
    <w:rsid w:val="00D43BD2"/>
    <w:rsid w:val="00D43F72"/>
    <w:rsid w:val="00D4426E"/>
    <w:rsid w:val="00D45026"/>
    <w:rsid w:val="00D45D03"/>
    <w:rsid w:val="00D461B2"/>
    <w:rsid w:val="00D464C3"/>
    <w:rsid w:val="00D46DB7"/>
    <w:rsid w:val="00D46E77"/>
    <w:rsid w:val="00D47174"/>
    <w:rsid w:val="00D47DC6"/>
    <w:rsid w:val="00D47DD9"/>
    <w:rsid w:val="00D50C9A"/>
    <w:rsid w:val="00D516A7"/>
    <w:rsid w:val="00D51B26"/>
    <w:rsid w:val="00D521DC"/>
    <w:rsid w:val="00D52748"/>
    <w:rsid w:val="00D527A7"/>
    <w:rsid w:val="00D5291A"/>
    <w:rsid w:val="00D544FC"/>
    <w:rsid w:val="00D54FEF"/>
    <w:rsid w:val="00D55BB6"/>
    <w:rsid w:val="00D5639D"/>
    <w:rsid w:val="00D56F77"/>
    <w:rsid w:val="00D57B55"/>
    <w:rsid w:val="00D57EDA"/>
    <w:rsid w:val="00D6035E"/>
    <w:rsid w:val="00D6037A"/>
    <w:rsid w:val="00D61963"/>
    <w:rsid w:val="00D61D49"/>
    <w:rsid w:val="00D622CA"/>
    <w:rsid w:val="00D6464A"/>
    <w:rsid w:val="00D64FCD"/>
    <w:rsid w:val="00D6564B"/>
    <w:rsid w:val="00D659B7"/>
    <w:rsid w:val="00D66759"/>
    <w:rsid w:val="00D66DAD"/>
    <w:rsid w:val="00D67073"/>
    <w:rsid w:val="00D671FF"/>
    <w:rsid w:val="00D672A3"/>
    <w:rsid w:val="00D67499"/>
    <w:rsid w:val="00D67B70"/>
    <w:rsid w:val="00D67F35"/>
    <w:rsid w:val="00D70016"/>
    <w:rsid w:val="00D706E3"/>
    <w:rsid w:val="00D71361"/>
    <w:rsid w:val="00D71BDB"/>
    <w:rsid w:val="00D71CC4"/>
    <w:rsid w:val="00D72A1B"/>
    <w:rsid w:val="00D72E63"/>
    <w:rsid w:val="00D73968"/>
    <w:rsid w:val="00D74246"/>
    <w:rsid w:val="00D749EC"/>
    <w:rsid w:val="00D74BE3"/>
    <w:rsid w:val="00D751F5"/>
    <w:rsid w:val="00D75DCE"/>
    <w:rsid w:val="00D75DDC"/>
    <w:rsid w:val="00D803E3"/>
    <w:rsid w:val="00D80842"/>
    <w:rsid w:val="00D811EE"/>
    <w:rsid w:val="00D8133B"/>
    <w:rsid w:val="00D81C68"/>
    <w:rsid w:val="00D81E04"/>
    <w:rsid w:val="00D82641"/>
    <w:rsid w:val="00D836BC"/>
    <w:rsid w:val="00D83D0E"/>
    <w:rsid w:val="00D844C0"/>
    <w:rsid w:val="00D84975"/>
    <w:rsid w:val="00D85E9E"/>
    <w:rsid w:val="00D86017"/>
    <w:rsid w:val="00D86052"/>
    <w:rsid w:val="00D867BE"/>
    <w:rsid w:val="00D86F7F"/>
    <w:rsid w:val="00D87231"/>
    <w:rsid w:val="00D878F1"/>
    <w:rsid w:val="00D90220"/>
    <w:rsid w:val="00D914B2"/>
    <w:rsid w:val="00D916B0"/>
    <w:rsid w:val="00D926E7"/>
    <w:rsid w:val="00D92749"/>
    <w:rsid w:val="00D93313"/>
    <w:rsid w:val="00D934C7"/>
    <w:rsid w:val="00D93543"/>
    <w:rsid w:val="00D93BF9"/>
    <w:rsid w:val="00D940D5"/>
    <w:rsid w:val="00D94490"/>
    <w:rsid w:val="00D947DE"/>
    <w:rsid w:val="00D94C70"/>
    <w:rsid w:val="00D951BF"/>
    <w:rsid w:val="00D961C5"/>
    <w:rsid w:val="00D968E2"/>
    <w:rsid w:val="00D96F1F"/>
    <w:rsid w:val="00D972A3"/>
    <w:rsid w:val="00D97C32"/>
    <w:rsid w:val="00DA003E"/>
    <w:rsid w:val="00DA0319"/>
    <w:rsid w:val="00DA0E7F"/>
    <w:rsid w:val="00DA1768"/>
    <w:rsid w:val="00DA1824"/>
    <w:rsid w:val="00DA2460"/>
    <w:rsid w:val="00DA2AC1"/>
    <w:rsid w:val="00DA3A5A"/>
    <w:rsid w:val="00DA51FA"/>
    <w:rsid w:val="00DA5278"/>
    <w:rsid w:val="00DA52A2"/>
    <w:rsid w:val="00DA592B"/>
    <w:rsid w:val="00DA5CF8"/>
    <w:rsid w:val="00DA5D4E"/>
    <w:rsid w:val="00DA6638"/>
    <w:rsid w:val="00DA682A"/>
    <w:rsid w:val="00DA71FC"/>
    <w:rsid w:val="00DA7871"/>
    <w:rsid w:val="00DB0769"/>
    <w:rsid w:val="00DB076B"/>
    <w:rsid w:val="00DB0F89"/>
    <w:rsid w:val="00DB1E01"/>
    <w:rsid w:val="00DB1F08"/>
    <w:rsid w:val="00DB1F77"/>
    <w:rsid w:val="00DB212D"/>
    <w:rsid w:val="00DB2500"/>
    <w:rsid w:val="00DB251A"/>
    <w:rsid w:val="00DB2AC6"/>
    <w:rsid w:val="00DB2EF2"/>
    <w:rsid w:val="00DB2FB1"/>
    <w:rsid w:val="00DB31A2"/>
    <w:rsid w:val="00DB3CBD"/>
    <w:rsid w:val="00DB4E61"/>
    <w:rsid w:val="00DB4E75"/>
    <w:rsid w:val="00DB523B"/>
    <w:rsid w:val="00DB5CC0"/>
    <w:rsid w:val="00DB6595"/>
    <w:rsid w:val="00DB66E1"/>
    <w:rsid w:val="00DB6776"/>
    <w:rsid w:val="00DB74A0"/>
    <w:rsid w:val="00DC0312"/>
    <w:rsid w:val="00DC09A6"/>
    <w:rsid w:val="00DC1FB3"/>
    <w:rsid w:val="00DC289E"/>
    <w:rsid w:val="00DC3053"/>
    <w:rsid w:val="00DC3866"/>
    <w:rsid w:val="00DC4793"/>
    <w:rsid w:val="00DC537C"/>
    <w:rsid w:val="00DC53EA"/>
    <w:rsid w:val="00DC5828"/>
    <w:rsid w:val="00DC5CBE"/>
    <w:rsid w:val="00DC5F3C"/>
    <w:rsid w:val="00DC6834"/>
    <w:rsid w:val="00DC6A44"/>
    <w:rsid w:val="00DC7501"/>
    <w:rsid w:val="00DC7912"/>
    <w:rsid w:val="00DD0123"/>
    <w:rsid w:val="00DD09AB"/>
    <w:rsid w:val="00DD128C"/>
    <w:rsid w:val="00DD21A3"/>
    <w:rsid w:val="00DD2D28"/>
    <w:rsid w:val="00DD5C8C"/>
    <w:rsid w:val="00DD63FE"/>
    <w:rsid w:val="00DD667E"/>
    <w:rsid w:val="00DD6840"/>
    <w:rsid w:val="00DD7B36"/>
    <w:rsid w:val="00DD7BE9"/>
    <w:rsid w:val="00DE031F"/>
    <w:rsid w:val="00DE119A"/>
    <w:rsid w:val="00DE127E"/>
    <w:rsid w:val="00DE1322"/>
    <w:rsid w:val="00DE25F4"/>
    <w:rsid w:val="00DE595A"/>
    <w:rsid w:val="00DE76EC"/>
    <w:rsid w:val="00DE7DBB"/>
    <w:rsid w:val="00DF0586"/>
    <w:rsid w:val="00DF0D38"/>
    <w:rsid w:val="00DF1369"/>
    <w:rsid w:val="00DF1572"/>
    <w:rsid w:val="00DF17BB"/>
    <w:rsid w:val="00DF26DB"/>
    <w:rsid w:val="00DF2F3E"/>
    <w:rsid w:val="00DF49E0"/>
    <w:rsid w:val="00DF4DB8"/>
    <w:rsid w:val="00DF5274"/>
    <w:rsid w:val="00DF53BA"/>
    <w:rsid w:val="00DF5E7E"/>
    <w:rsid w:val="00DF622D"/>
    <w:rsid w:val="00E0068B"/>
    <w:rsid w:val="00E01969"/>
    <w:rsid w:val="00E0230D"/>
    <w:rsid w:val="00E02DC5"/>
    <w:rsid w:val="00E03B69"/>
    <w:rsid w:val="00E04761"/>
    <w:rsid w:val="00E04763"/>
    <w:rsid w:val="00E05054"/>
    <w:rsid w:val="00E05E77"/>
    <w:rsid w:val="00E102EE"/>
    <w:rsid w:val="00E105B1"/>
    <w:rsid w:val="00E10AFE"/>
    <w:rsid w:val="00E116F8"/>
    <w:rsid w:val="00E11879"/>
    <w:rsid w:val="00E12ED0"/>
    <w:rsid w:val="00E131B3"/>
    <w:rsid w:val="00E14985"/>
    <w:rsid w:val="00E14995"/>
    <w:rsid w:val="00E150E4"/>
    <w:rsid w:val="00E16117"/>
    <w:rsid w:val="00E16F2C"/>
    <w:rsid w:val="00E16FCB"/>
    <w:rsid w:val="00E173CC"/>
    <w:rsid w:val="00E17AE1"/>
    <w:rsid w:val="00E201A0"/>
    <w:rsid w:val="00E210F5"/>
    <w:rsid w:val="00E21D18"/>
    <w:rsid w:val="00E22A3D"/>
    <w:rsid w:val="00E2307D"/>
    <w:rsid w:val="00E24210"/>
    <w:rsid w:val="00E24DF2"/>
    <w:rsid w:val="00E25FB6"/>
    <w:rsid w:val="00E26EF5"/>
    <w:rsid w:val="00E26F5E"/>
    <w:rsid w:val="00E27EEE"/>
    <w:rsid w:val="00E32972"/>
    <w:rsid w:val="00E32FA8"/>
    <w:rsid w:val="00E33C52"/>
    <w:rsid w:val="00E33F0C"/>
    <w:rsid w:val="00E3455C"/>
    <w:rsid w:val="00E34769"/>
    <w:rsid w:val="00E34BC7"/>
    <w:rsid w:val="00E34CB7"/>
    <w:rsid w:val="00E353FB"/>
    <w:rsid w:val="00E36C13"/>
    <w:rsid w:val="00E374BE"/>
    <w:rsid w:val="00E4063E"/>
    <w:rsid w:val="00E4132B"/>
    <w:rsid w:val="00E425FF"/>
    <w:rsid w:val="00E42FE9"/>
    <w:rsid w:val="00E43640"/>
    <w:rsid w:val="00E43793"/>
    <w:rsid w:val="00E443CF"/>
    <w:rsid w:val="00E447EC"/>
    <w:rsid w:val="00E453DC"/>
    <w:rsid w:val="00E45B76"/>
    <w:rsid w:val="00E4656B"/>
    <w:rsid w:val="00E4657F"/>
    <w:rsid w:val="00E46720"/>
    <w:rsid w:val="00E46D3D"/>
    <w:rsid w:val="00E47438"/>
    <w:rsid w:val="00E47765"/>
    <w:rsid w:val="00E47817"/>
    <w:rsid w:val="00E478A8"/>
    <w:rsid w:val="00E50690"/>
    <w:rsid w:val="00E50EC7"/>
    <w:rsid w:val="00E51AEC"/>
    <w:rsid w:val="00E5238C"/>
    <w:rsid w:val="00E5289C"/>
    <w:rsid w:val="00E52AC1"/>
    <w:rsid w:val="00E540F1"/>
    <w:rsid w:val="00E544E5"/>
    <w:rsid w:val="00E55A63"/>
    <w:rsid w:val="00E55D80"/>
    <w:rsid w:val="00E56080"/>
    <w:rsid w:val="00E567A1"/>
    <w:rsid w:val="00E56D0E"/>
    <w:rsid w:val="00E57007"/>
    <w:rsid w:val="00E57614"/>
    <w:rsid w:val="00E57E92"/>
    <w:rsid w:val="00E60908"/>
    <w:rsid w:val="00E616C1"/>
    <w:rsid w:val="00E61E83"/>
    <w:rsid w:val="00E63025"/>
    <w:rsid w:val="00E630D8"/>
    <w:rsid w:val="00E6397D"/>
    <w:rsid w:val="00E64510"/>
    <w:rsid w:val="00E653BE"/>
    <w:rsid w:val="00E65A1F"/>
    <w:rsid w:val="00E67461"/>
    <w:rsid w:val="00E67CE2"/>
    <w:rsid w:val="00E719B9"/>
    <w:rsid w:val="00E71F81"/>
    <w:rsid w:val="00E72B08"/>
    <w:rsid w:val="00E72D0B"/>
    <w:rsid w:val="00E72DD5"/>
    <w:rsid w:val="00E72EF9"/>
    <w:rsid w:val="00E73579"/>
    <w:rsid w:val="00E73C4B"/>
    <w:rsid w:val="00E73DA2"/>
    <w:rsid w:val="00E73DBA"/>
    <w:rsid w:val="00E73E50"/>
    <w:rsid w:val="00E7459A"/>
    <w:rsid w:val="00E7482F"/>
    <w:rsid w:val="00E74A65"/>
    <w:rsid w:val="00E74A67"/>
    <w:rsid w:val="00E74D0E"/>
    <w:rsid w:val="00E75BB4"/>
    <w:rsid w:val="00E7633A"/>
    <w:rsid w:val="00E765C4"/>
    <w:rsid w:val="00E767DD"/>
    <w:rsid w:val="00E76DDB"/>
    <w:rsid w:val="00E8028D"/>
    <w:rsid w:val="00E80DB5"/>
    <w:rsid w:val="00E815D9"/>
    <w:rsid w:val="00E81B0E"/>
    <w:rsid w:val="00E828C5"/>
    <w:rsid w:val="00E829F5"/>
    <w:rsid w:val="00E83528"/>
    <w:rsid w:val="00E83673"/>
    <w:rsid w:val="00E84933"/>
    <w:rsid w:val="00E84C52"/>
    <w:rsid w:val="00E84E5D"/>
    <w:rsid w:val="00E86393"/>
    <w:rsid w:val="00E86C94"/>
    <w:rsid w:val="00E87039"/>
    <w:rsid w:val="00E90180"/>
    <w:rsid w:val="00E90268"/>
    <w:rsid w:val="00E90F37"/>
    <w:rsid w:val="00E90F47"/>
    <w:rsid w:val="00E911BF"/>
    <w:rsid w:val="00E9187E"/>
    <w:rsid w:val="00E92D61"/>
    <w:rsid w:val="00E93D87"/>
    <w:rsid w:val="00E944ED"/>
    <w:rsid w:val="00E9469F"/>
    <w:rsid w:val="00E94F7B"/>
    <w:rsid w:val="00E96FC2"/>
    <w:rsid w:val="00E97B93"/>
    <w:rsid w:val="00EA1275"/>
    <w:rsid w:val="00EA1A13"/>
    <w:rsid w:val="00EA2049"/>
    <w:rsid w:val="00EA236E"/>
    <w:rsid w:val="00EA2709"/>
    <w:rsid w:val="00EA3214"/>
    <w:rsid w:val="00EA37FB"/>
    <w:rsid w:val="00EA45BE"/>
    <w:rsid w:val="00EA52E2"/>
    <w:rsid w:val="00EA5D78"/>
    <w:rsid w:val="00EA6404"/>
    <w:rsid w:val="00EA75E8"/>
    <w:rsid w:val="00EA7CC8"/>
    <w:rsid w:val="00EB042E"/>
    <w:rsid w:val="00EB0CA7"/>
    <w:rsid w:val="00EB12AE"/>
    <w:rsid w:val="00EB16CC"/>
    <w:rsid w:val="00EB2E92"/>
    <w:rsid w:val="00EB3244"/>
    <w:rsid w:val="00EB3515"/>
    <w:rsid w:val="00EB3678"/>
    <w:rsid w:val="00EB36DF"/>
    <w:rsid w:val="00EB3C08"/>
    <w:rsid w:val="00EB5630"/>
    <w:rsid w:val="00EB5C56"/>
    <w:rsid w:val="00EB5D3C"/>
    <w:rsid w:val="00EB6DC8"/>
    <w:rsid w:val="00EB7862"/>
    <w:rsid w:val="00EC0286"/>
    <w:rsid w:val="00EC1B62"/>
    <w:rsid w:val="00EC2C73"/>
    <w:rsid w:val="00EC2D1F"/>
    <w:rsid w:val="00EC303E"/>
    <w:rsid w:val="00EC40F3"/>
    <w:rsid w:val="00EC414C"/>
    <w:rsid w:val="00EC5022"/>
    <w:rsid w:val="00EC6125"/>
    <w:rsid w:val="00EC6D74"/>
    <w:rsid w:val="00EC6D9B"/>
    <w:rsid w:val="00EC7658"/>
    <w:rsid w:val="00EC7B18"/>
    <w:rsid w:val="00EC7B50"/>
    <w:rsid w:val="00ED0087"/>
    <w:rsid w:val="00ED008B"/>
    <w:rsid w:val="00ED0809"/>
    <w:rsid w:val="00ED0E32"/>
    <w:rsid w:val="00ED0E5C"/>
    <w:rsid w:val="00ED1403"/>
    <w:rsid w:val="00ED182E"/>
    <w:rsid w:val="00ED21C9"/>
    <w:rsid w:val="00ED2C31"/>
    <w:rsid w:val="00ED47C4"/>
    <w:rsid w:val="00ED4DC3"/>
    <w:rsid w:val="00ED58E4"/>
    <w:rsid w:val="00ED5B48"/>
    <w:rsid w:val="00ED5BA3"/>
    <w:rsid w:val="00ED5D0C"/>
    <w:rsid w:val="00ED5F5E"/>
    <w:rsid w:val="00ED6235"/>
    <w:rsid w:val="00ED645C"/>
    <w:rsid w:val="00ED695C"/>
    <w:rsid w:val="00ED74EC"/>
    <w:rsid w:val="00ED7998"/>
    <w:rsid w:val="00EE10DB"/>
    <w:rsid w:val="00EE175B"/>
    <w:rsid w:val="00EE26C9"/>
    <w:rsid w:val="00EE2B5F"/>
    <w:rsid w:val="00EE346D"/>
    <w:rsid w:val="00EE37EB"/>
    <w:rsid w:val="00EE4F6F"/>
    <w:rsid w:val="00EE564A"/>
    <w:rsid w:val="00EE5DDD"/>
    <w:rsid w:val="00EE624C"/>
    <w:rsid w:val="00EE6BAB"/>
    <w:rsid w:val="00EF04A4"/>
    <w:rsid w:val="00EF0F0C"/>
    <w:rsid w:val="00EF1E57"/>
    <w:rsid w:val="00EF26D8"/>
    <w:rsid w:val="00EF3635"/>
    <w:rsid w:val="00EF4027"/>
    <w:rsid w:val="00EF4436"/>
    <w:rsid w:val="00EF4DB2"/>
    <w:rsid w:val="00EF514C"/>
    <w:rsid w:val="00EF5774"/>
    <w:rsid w:val="00EF5836"/>
    <w:rsid w:val="00EF6712"/>
    <w:rsid w:val="00EF78C2"/>
    <w:rsid w:val="00F00EC2"/>
    <w:rsid w:val="00F0207D"/>
    <w:rsid w:val="00F02DC4"/>
    <w:rsid w:val="00F02E6C"/>
    <w:rsid w:val="00F03261"/>
    <w:rsid w:val="00F048BC"/>
    <w:rsid w:val="00F048BF"/>
    <w:rsid w:val="00F04AB2"/>
    <w:rsid w:val="00F04DBA"/>
    <w:rsid w:val="00F0587D"/>
    <w:rsid w:val="00F05D51"/>
    <w:rsid w:val="00F06446"/>
    <w:rsid w:val="00F0645D"/>
    <w:rsid w:val="00F06D91"/>
    <w:rsid w:val="00F07A9F"/>
    <w:rsid w:val="00F10BAD"/>
    <w:rsid w:val="00F10E2C"/>
    <w:rsid w:val="00F10EA4"/>
    <w:rsid w:val="00F10FF3"/>
    <w:rsid w:val="00F1102B"/>
    <w:rsid w:val="00F11982"/>
    <w:rsid w:val="00F1212B"/>
    <w:rsid w:val="00F12699"/>
    <w:rsid w:val="00F12CDB"/>
    <w:rsid w:val="00F13430"/>
    <w:rsid w:val="00F152C3"/>
    <w:rsid w:val="00F1585B"/>
    <w:rsid w:val="00F15868"/>
    <w:rsid w:val="00F17B07"/>
    <w:rsid w:val="00F200AE"/>
    <w:rsid w:val="00F207FF"/>
    <w:rsid w:val="00F212AD"/>
    <w:rsid w:val="00F212EB"/>
    <w:rsid w:val="00F2298A"/>
    <w:rsid w:val="00F2325B"/>
    <w:rsid w:val="00F236A5"/>
    <w:rsid w:val="00F24692"/>
    <w:rsid w:val="00F24D53"/>
    <w:rsid w:val="00F261BF"/>
    <w:rsid w:val="00F3057F"/>
    <w:rsid w:val="00F308C8"/>
    <w:rsid w:val="00F30AD1"/>
    <w:rsid w:val="00F3134C"/>
    <w:rsid w:val="00F32A5C"/>
    <w:rsid w:val="00F3324A"/>
    <w:rsid w:val="00F33461"/>
    <w:rsid w:val="00F34008"/>
    <w:rsid w:val="00F34566"/>
    <w:rsid w:val="00F36BD8"/>
    <w:rsid w:val="00F36D8F"/>
    <w:rsid w:val="00F36FAA"/>
    <w:rsid w:val="00F37324"/>
    <w:rsid w:val="00F3787D"/>
    <w:rsid w:val="00F37A8A"/>
    <w:rsid w:val="00F4003E"/>
    <w:rsid w:val="00F410AD"/>
    <w:rsid w:val="00F415A9"/>
    <w:rsid w:val="00F41A16"/>
    <w:rsid w:val="00F423DB"/>
    <w:rsid w:val="00F4240C"/>
    <w:rsid w:val="00F42CB0"/>
    <w:rsid w:val="00F43369"/>
    <w:rsid w:val="00F43810"/>
    <w:rsid w:val="00F438DF"/>
    <w:rsid w:val="00F43CC3"/>
    <w:rsid w:val="00F45775"/>
    <w:rsid w:val="00F46DD0"/>
    <w:rsid w:val="00F46EC0"/>
    <w:rsid w:val="00F472B6"/>
    <w:rsid w:val="00F47659"/>
    <w:rsid w:val="00F47D7A"/>
    <w:rsid w:val="00F5135E"/>
    <w:rsid w:val="00F52760"/>
    <w:rsid w:val="00F54359"/>
    <w:rsid w:val="00F54E29"/>
    <w:rsid w:val="00F55596"/>
    <w:rsid w:val="00F55703"/>
    <w:rsid w:val="00F55D1E"/>
    <w:rsid w:val="00F568DF"/>
    <w:rsid w:val="00F57000"/>
    <w:rsid w:val="00F5761E"/>
    <w:rsid w:val="00F577F4"/>
    <w:rsid w:val="00F5798C"/>
    <w:rsid w:val="00F605B5"/>
    <w:rsid w:val="00F6079B"/>
    <w:rsid w:val="00F60AEC"/>
    <w:rsid w:val="00F60D49"/>
    <w:rsid w:val="00F61194"/>
    <w:rsid w:val="00F61B58"/>
    <w:rsid w:val="00F623FB"/>
    <w:rsid w:val="00F62435"/>
    <w:rsid w:val="00F645CB"/>
    <w:rsid w:val="00F64F17"/>
    <w:rsid w:val="00F6679C"/>
    <w:rsid w:val="00F668F9"/>
    <w:rsid w:val="00F66C22"/>
    <w:rsid w:val="00F66D62"/>
    <w:rsid w:val="00F66EEB"/>
    <w:rsid w:val="00F672AC"/>
    <w:rsid w:val="00F67372"/>
    <w:rsid w:val="00F67990"/>
    <w:rsid w:val="00F67AD4"/>
    <w:rsid w:val="00F70171"/>
    <w:rsid w:val="00F7037E"/>
    <w:rsid w:val="00F70785"/>
    <w:rsid w:val="00F70EA4"/>
    <w:rsid w:val="00F71080"/>
    <w:rsid w:val="00F7185F"/>
    <w:rsid w:val="00F71E74"/>
    <w:rsid w:val="00F720DA"/>
    <w:rsid w:val="00F72B67"/>
    <w:rsid w:val="00F744FC"/>
    <w:rsid w:val="00F7453C"/>
    <w:rsid w:val="00F74FA5"/>
    <w:rsid w:val="00F75608"/>
    <w:rsid w:val="00F75BA4"/>
    <w:rsid w:val="00F761B5"/>
    <w:rsid w:val="00F76273"/>
    <w:rsid w:val="00F76503"/>
    <w:rsid w:val="00F779AE"/>
    <w:rsid w:val="00F77F7F"/>
    <w:rsid w:val="00F8134E"/>
    <w:rsid w:val="00F81F41"/>
    <w:rsid w:val="00F823FF"/>
    <w:rsid w:val="00F830BE"/>
    <w:rsid w:val="00F835B8"/>
    <w:rsid w:val="00F8421F"/>
    <w:rsid w:val="00F851E1"/>
    <w:rsid w:val="00F864D3"/>
    <w:rsid w:val="00F869C7"/>
    <w:rsid w:val="00F873C1"/>
    <w:rsid w:val="00F87485"/>
    <w:rsid w:val="00F87930"/>
    <w:rsid w:val="00F87AED"/>
    <w:rsid w:val="00F905F4"/>
    <w:rsid w:val="00F916FF"/>
    <w:rsid w:val="00F921A4"/>
    <w:rsid w:val="00F924C9"/>
    <w:rsid w:val="00F92E26"/>
    <w:rsid w:val="00F94018"/>
    <w:rsid w:val="00F94042"/>
    <w:rsid w:val="00F940D1"/>
    <w:rsid w:val="00F949DD"/>
    <w:rsid w:val="00F94BD2"/>
    <w:rsid w:val="00F95488"/>
    <w:rsid w:val="00F95D85"/>
    <w:rsid w:val="00F95FA3"/>
    <w:rsid w:val="00F9600F"/>
    <w:rsid w:val="00F97D1D"/>
    <w:rsid w:val="00FA029E"/>
    <w:rsid w:val="00FA07C7"/>
    <w:rsid w:val="00FA0841"/>
    <w:rsid w:val="00FA0C1C"/>
    <w:rsid w:val="00FA0CCF"/>
    <w:rsid w:val="00FA0EA3"/>
    <w:rsid w:val="00FA1178"/>
    <w:rsid w:val="00FA1643"/>
    <w:rsid w:val="00FA16BA"/>
    <w:rsid w:val="00FA17A9"/>
    <w:rsid w:val="00FA270D"/>
    <w:rsid w:val="00FA28F9"/>
    <w:rsid w:val="00FA2A35"/>
    <w:rsid w:val="00FA2F4E"/>
    <w:rsid w:val="00FA325C"/>
    <w:rsid w:val="00FA3327"/>
    <w:rsid w:val="00FA3915"/>
    <w:rsid w:val="00FA3FCB"/>
    <w:rsid w:val="00FA47C7"/>
    <w:rsid w:val="00FA514F"/>
    <w:rsid w:val="00FA5AF1"/>
    <w:rsid w:val="00FA73A8"/>
    <w:rsid w:val="00FA764C"/>
    <w:rsid w:val="00FA782C"/>
    <w:rsid w:val="00FB03C7"/>
    <w:rsid w:val="00FB0FFE"/>
    <w:rsid w:val="00FB1AFE"/>
    <w:rsid w:val="00FB2414"/>
    <w:rsid w:val="00FB2DD7"/>
    <w:rsid w:val="00FB2F8D"/>
    <w:rsid w:val="00FB44E8"/>
    <w:rsid w:val="00FB4720"/>
    <w:rsid w:val="00FB536A"/>
    <w:rsid w:val="00FB5CDF"/>
    <w:rsid w:val="00FB649A"/>
    <w:rsid w:val="00FB68EA"/>
    <w:rsid w:val="00FB6DDE"/>
    <w:rsid w:val="00FB74C2"/>
    <w:rsid w:val="00FB766C"/>
    <w:rsid w:val="00FC0EC2"/>
    <w:rsid w:val="00FC1D40"/>
    <w:rsid w:val="00FC3395"/>
    <w:rsid w:val="00FC370F"/>
    <w:rsid w:val="00FC47A7"/>
    <w:rsid w:val="00FC5399"/>
    <w:rsid w:val="00FC5FFA"/>
    <w:rsid w:val="00FC68C5"/>
    <w:rsid w:val="00FC7416"/>
    <w:rsid w:val="00FC7EF5"/>
    <w:rsid w:val="00FD066B"/>
    <w:rsid w:val="00FD0ED2"/>
    <w:rsid w:val="00FD2A6D"/>
    <w:rsid w:val="00FD36AC"/>
    <w:rsid w:val="00FD4444"/>
    <w:rsid w:val="00FD4AEA"/>
    <w:rsid w:val="00FD4C1D"/>
    <w:rsid w:val="00FD516F"/>
    <w:rsid w:val="00FD5B8E"/>
    <w:rsid w:val="00FD5D86"/>
    <w:rsid w:val="00FD6268"/>
    <w:rsid w:val="00FD6AF4"/>
    <w:rsid w:val="00FD74FF"/>
    <w:rsid w:val="00FD7B27"/>
    <w:rsid w:val="00FD7BFE"/>
    <w:rsid w:val="00FE1279"/>
    <w:rsid w:val="00FE1D11"/>
    <w:rsid w:val="00FE20EC"/>
    <w:rsid w:val="00FE21F0"/>
    <w:rsid w:val="00FE2284"/>
    <w:rsid w:val="00FE2394"/>
    <w:rsid w:val="00FE3327"/>
    <w:rsid w:val="00FE37EE"/>
    <w:rsid w:val="00FE3A1E"/>
    <w:rsid w:val="00FE3E75"/>
    <w:rsid w:val="00FE4098"/>
    <w:rsid w:val="00FE4589"/>
    <w:rsid w:val="00FE4A53"/>
    <w:rsid w:val="00FE5586"/>
    <w:rsid w:val="00FE5826"/>
    <w:rsid w:val="00FE5C23"/>
    <w:rsid w:val="00FE60B0"/>
    <w:rsid w:val="00FE67CC"/>
    <w:rsid w:val="00FE6D05"/>
    <w:rsid w:val="00FE6DA5"/>
    <w:rsid w:val="00FE7C3B"/>
    <w:rsid w:val="00FF00C1"/>
    <w:rsid w:val="00FF039F"/>
    <w:rsid w:val="00FF16F7"/>
    <w:rsid w:val="00FF225D"/>
    <w:rsid w:val="00FF276F"/>
    <w:rsid w:val="00FF2E26"/>
    <w:rsid w:val="00FF3D3F"/>
    <w:rsid w:val="00FF3DC7"/>
    <w:rsid w:val="00FF3FB5"/>
    <w:rsid w:val="00FF4035"/>
    <w:rsid w:val="00FF4DB7"/>
    <w:rsid w:val="00FF5D0F"/>
    <w:rsid w:val="00FF5DAD"/>
    <w:rsid w:val="00FF5E2A"/>
    <w:rsid w:val="00FF65DE"/>
    <w:rsid w:val="00FF75EF"/>
    <w:rsid w:val="00FF7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C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1A22"/>
    <w:pPr>
      <w:spacing w:after="240" w:line="280" w:lineRule="exact"/>
    </w:pPr>
    <w:rPr>
      <w:rFonts w:ascii="Garamond" w:hAnsi="Garamond"/>
      <w:color w:val="000000"/>
      <w:kern w:val="16"/>
      <w:sz w:val="22"/>
      <w:lang w:eastAsia="en-US"/>
    </w:rPr>
  </w:style>
  <w:style w:type="paragraph" w:styleId="Heading1">
    <w:name w:val="heading 1"/>
    <w:basedOn w:val="HeadingBase"/>
    <w:next w:val="Normal"/>
    <w:link w:val="Heading1Char"/>
    <w:qFormat/>
    <w:rsid w:val="00382254"/>
    <w:pPr>
      <w:spacing w:after="360"/>
      <w:outlineLvl w:val="0"/>
    </w:pPr>
    <w:rPr>
      <w:rFonts w:ascii="Arial Bold" w:hAnsi="Arial Bold"/>
      <w:b/>
      <w:smallCaps/>
      <w:color w:val="0E406A" w:themeColor="accent1"/>
      <w:kern w:val="32"/>
      <w:sz w:val="36"/>
      <w:szCs w:val="31"/>
    </w:rPr>
  </w:style>
  <w:style w:type="paragraph" w:styleId="Heading2">
    <w:name w:val="heading 2"/>
    <w:basedOn w:val="HeadingBase"/>
    <w:next w:val="Normal"/>
    <w:link w:val="Heading2Char"/>
    <w:qFormat/>
    <w:rsid w:val="00286051"/>
    <w:pPr>
      <w:keepNext w:val="0"/>
      <w:spacing w:before="360" w:after="240"/>
      <w:outlineLvl w:val="1"/>
    </w:pPr>
    <w:rPr>
      <w:rFonts w:ascii="Arial Bold" w:hAnsi="Arial Bold"/>
      <w:b/>
      <w:color w:val="0E406A"/>
      <w:sz w:val="28"/>
    </w:rPr>
  </w:style>
  <w:style w:type="paragraph" w:styleId="Heading3">
    <w:name w:val="heading 3"/>
    <w:basedOn w:val="HeadingBase"/>
    <w:next w:val="Normal"/>
    <w:link w:val="Heading3Char1"/>
    <w:qFormat/>
    <w:rsid w:val="00286051"/>
    <w:pPr>
      <w:spacing w:after="180"/>
      <w:outlineLvl w:val="2"/>
    </w:pPr>
    <w:rPr>
      <w:color w:val="0E406A" w:themeColor="accent1"/>
      <w:sz w:val="24"/>
    </w:rPr>
  </w:style>
  <w:style w:type="paragraph" w:styleId="Heading4">
    <w:name w:val="heading 4"/>
    <w:basedOn w:val="HeadingBase"/>
    <w:next w:val="Normal"/>
    <w:link w:val="Heading4Char"/>
    <w:qFormat/>
    <w:rsid w:val="008715D6"/>
    <w:pPr>
      <w:spacing w:before="240" w:after="120"/>
      <w:outlineLvl w:val="3"/>
    </w:pPr>
    <w:rPr>
      <w:rFonts w:ascii="Arial Bold" w:hAnsi="Arial Bold"/>
      <w:b/>
      <w:color w:val="1F497D" w:themeColor="text2"/>
      <w:sz w:val="22"/>
      <w:szCs w:val="22"/>
    </w:rPr>
  </w:style>
  <w:style w:type="paragraph" w:styleId="Heading5">
    <w:name w:val="heading 5"/>
    <w:basedOn w:val="Normal"/>
    <w:next w:val="Normal"/>
    <w:link w:val="Heading5Char"/>
    <w:qFormat/>
    <w:rsid w:val="008715D6"/>
    <w:pPr>
      <w:keepNext/>
      <w:spacing w:before="240" w:after="180" w:line="240" w:lineRule="auto"/>
      <w:outlineLvl w:val="4"/>
    </w:pPr>
    <w:rPr>
      <w:rFonts w:ascii="Arial Bold" w:hAnsi="Arial Bold"/>
      <w:b/>
      <w:iCs/>
      <w:color w:val="1F497D" w:themeColor="text2"/>
      <w:kern w:val="0"/>
      <w:sz w:val="19"/>
      <w:szCs w:val="18"/>
      <w:lang w:eastAsia="en-AU"/>
    </w:rPr>
  </w:style>
  <w:style w:type="paragraph" w:styleId="Heading6">
    <w:name w:val="heading 6"/>
    <w:basedOn w:val="HeadingBase"/>
    <w:next w:val="Normal"/>
    <w:link w:val="Heading6Char"/>
    <w:qFormat/>
    <w:rsid w:val="00A15E0B"/>
    <w:pPr>
      <w:spacing w:after="60"/>
      <w:outlineLvl w:val="5"/>
    </w:pPr>
    <w:rPr>
      <w:i/>
      <w:color w:val="0E406A"/>
      <w:sz w:val="24"/>
      <w:szCs w:val="24"/>
    </w:rPr>
  </w:style>
  <w:style w:type="paragraph" w:styleId="Heading7">
    <w:name w:val="heading 7"/>
    <w:basedOn w:val="HeadingBase"/>
    <w:next w:val="Normal"/>
    <w:link w:val="Heading7Char"/>
    <w:qFormat/>
    <w:rsid w:val="00D43F72"/>
    <w:pPr>
      <w:tabs>
        <w:tab w:val="left" w:pos="1304"/>
      </w:tabs>
      <w:spacing w:before="60" w:after="60"/>
      <w:outlineLvl w:val="6"/>
    </w:pPr>
    <w:rPr>
      <w:rFonts w:ascii="Arial Bold" w:hAnsi="Arial Bold"/>
      <w:b/>
      <w:i/>
    </w:rPr>
  </w:style>
  <w:style w:type="paragraph" w:styleId="Heading8">
    <w:name w:val="heading 8"/>
    <w:basedOn w:val="HeadingBase"/>
    <w:next w:val="Normal"/>
    <w:link w:val="Heading8Char"/>
    <w:qFormat/>
    <w:rsid w:val="00110B9B"/>
    <w:pPr>
      <w:spacing w:before="40" w:after="40" w:line="240" w:lineRule="atLeast"/>
      <w:outlineLvl w:val="7"/>
    </w:pPr>
    <w:rPr>
      <w:rFonts w:ascii="Arial Bold" w:hAnsi="Arial Bold"/>
      <w:b/>
      <w:color w:val="0E406A" w:themeColor="accent1"/>
    </w:rPr>
  </w:style>
  <w:style w:type="paragraph" w:styleId="Heading9">
    <w:name w:val="heading 9"/>
    <w:basedOn w:val="HeadingBase"/>
    <w:next w:val="Normal"/>
    <w:link w:val="Heading9Char"/>
    <w:qFormat/>
    <w:rsid w:val="00D43F72"/>
    <w:pPr>
      <w:outlineLvl w:val="8"/>
    </w:pPr>
    <w:rPr>
      <w:rFonts w:ascii="Arial Bold" w:hAnsi="Arial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D43F72"/>
    <w:pPr>
      <w:keepNext/>
    </w:pPr>
    <w:rPr>
      <w:rFonts w:ascii="Arial" w:hAnsi="Arial"/>
      <w:color w:val="82002A"/>
    </w:rPr>
  </w:style>
  <w:style w:type="paragraph" w:customStyle="1" w:styleId="SingleParagraph">
    <w:name w:val="Single Paragraph"/>
    <w:basedOn w:val="Normal"/>
    <w:rsid w:val="00B46724"/>
    <w:pPr>
      <w:spacing w:after="0" w:line="240" w:lineRule="auto"/>
    </w:pPr>
  </w:style>
  <w:style w:type="character" w:styleId="Hyperlink">
    <w:name w:val="Hyperlink"/>
    <w:basedOn w:val="DefaultParagraphFont"/>
    <w:uiPriority w:val="99"/>
    <w:rsid w:val="0061568F"/>
    <w:rPr>
      <w:b/>
      <w:color w:val="1F497D" w:themeColor="text2"/>
      <w:u w:val="none"/>
    </w:rPr>
  </w:style>
  <w:style w:type="character" w:styleId="FootnoteReference">
    <w:name w:val="footnote reference"/>
    <w:basedOn w:val="DefaultParagraphFont"/>
    <w:uiPriority w:val="99"/>
    <w:rsid w:val="00D43F72"/>
    <w:rPr>
      <w:vertAlign w:val="superscript"/>
    </w:rPr>
  </w:style>
  <w:style w:type="character" w:styleId="FollowedHyperlink">
    <w:name w:val="FollowedHyperlink"/>
    <w:basedOn w:val="DefaultParagraphFont"/>
    <w:rsid w:val="00D43F72"/>
    <w:rPr>
      <w:color w:val="auto"/>
      <w:u w:val="none"/>
    </w:rPr>
  </w:style>
  <w:style w:type="character" w:styleId="PageNumber">
    <w:name w:val="page number"/>
    <w:basedOn w:val="DefaultParagraphFont"/>
    <w:rsid w:val="00CD0838"/>
    <w:rPr>
      <w:rFonts w:ascii="Arial" w:eastAsia="Batang" w:hAnsi="Arial"/>
      <w:color w:val="0E406A" w:themeColor="accent1"/>
      <w:lang w:val="en-GB"/>
    </w:rPr>
  </w:style>
  <w:style w:type="paragraph" w:styleId="FootnoteText">
    <w:name w:val="footnote text"/>
    <w:basedOn w:val="Normal"/>
    <w:link w:val="FootnoteTextChar"/>
    <w:uiPriority w:val="99"/>
    <w:rsid w:val="008E679A"/>
    <w:pPr>
      <w:tabs>
        <w:tab w:val="left" w:pos="284"/>
      </w:tabs>
      <w:spacing w:after="0" w:line="240" w:lineRule="auto"/>
      <w:ind w:left="284" w:hanging="284"/>
    </w:pPr>
    <w:rPr>
      <w:color w:val="auto"/>
      <w:sz w:val="19"/>
    </w:rPr>
  </w:style>
  <w:style w:type="paragraph" w:customStyle="1" w:styleId="Bullet">
    <w:name w:val="Bullet"/>
    <w:basedOn w:val="Normal"/>
    <w:link w:val="BulletChar"/>
    <w:rsid w:val="0056135E"/>
    <w:pPr>
      <w:numPr>
        <w:numId w:val="5"/>
      </w:numPr>
      <w:tabs>
        <w:tab w:val="clear" w:pos="4678"/>
        <w:tab w:val="left" w:pos="425"/>
      </w:tabs>
      <w:ind w:left="425" w:hanging="425"/>
    </w:pPr>
  </w:style>
  <w:style w:type="paragraph" w:customStyle="1" w:styleId="Dash">
    <w:name w:val="Dash"/>
    <w:basedOn w:val="Normal"/>
    <w:rsid w:val="00D43F72"/>
    <w:pPr>
      <w:numPr>
        <w:ilvl w:val="1"/>
        <w:numId w:val="5"/>
      </w:numPr>
    </w:pPr>
  </w:style>
  <w:style w:type="paragraph" w:customStyle="1" w:styleId="DoubleDot">
    <w:name w:val="Double Dot"/>
    <w:basedOn w:val="Normal"/>
    <w:rsid w:val="00D43F72"/>
    <w:pPr>
      <w:numPr>
        <w:ilvl w:val="2"/>
        <w:numId w:val="5"/>
      </w:numPr>
    </w:pPr>
  </w:style>
  <w:style w:type="paragraph" w:customStyle="1" w:styleId="OutlineNumbered1">
    <w:name w:val="Outline Numbered 1"/>
    <w:basedOn w:val="Normal"/>
    <w:rsid w:val="00D43F72"/>
    <w:pPr>
      <w:numPr>
        <w:numId w:val="8"/>
      </w:numPr>
    </w:pPr>
  </w:style>
  <w:style w:type="paragraph" w:customStyle="1" w:styleId="OutlineNumbered2">
    <w:name w:val="Outline Numbered 2"/>
    <w:basedOn w:val="Normal"/>
    <w:rsid w:val="00D43F72"/>
    <w:pPr>
      <w:numPr>
        <w:ilvl w:val="1"/>
        <w:numId w:val="8"/>
      </w:numPr>
    </w:pPr>
  </w:style>
  <w:style w:type="paragraph" w:customStyle="1" w:styleId="OutlineNumbered3">
    <w:name w:val="Outline Numbered 3"/>
    <w:basedOn w:val="Normal"/>
    <w:rsid w:val="00D43F72"/>
    <w:pPr>
      <w:numPr>
        <w:ilvl w:val="2"/>
        <w:numId w:val="8"/>
      </w:numPr>
    </w:pPr>
  </w:style>
  <w:style w:type="paragraph" w:customStyle="1" w:styleId="AlphaParagraph">
    <w:name w:val="Alpha Paragraph"/>
    <w:basedOn w:val="Normal"/>
    <w:rsid w:val="00D43F72"/>
  </w:style>
  <w:style w:type="paragraph" w:styleId="Index1">
    <w:name w:val="index 1"/>
    <w:basedOn w:val="Normal"/>
    <w:next w:val="Normal"/>
    <w:uiPriority w:val="99"/>
    <w:semiHidden/>
    <w:rsid w:val="00B46724"/>
    <w:pPr>
      <w:tabs>
        <w:tab w:val="right" w:pos="4449"/>
      </w:tabs>
      <w:spacing w:after="0" w:line="260" w:lineRule="exact"/>
      <w:ind w:left="284" w:hanging="284"/>
    </w:pPr>
    <w:rPr>
      <w:sz w:val="20"/>
    </w:rPr>
  </w:style>
  <w:style w:type="paragraph" w:customStyle="1" w:styleId="BoxHeading">
    <w:name w:val="Box Heading"/>
    <w:basedOn w:val="HeadingBase"/>
    <w:next w:val="BoxText"/>
    <w:rsid w:val="00D43F72"/>
    <w:pPr>
      <w:spacing w:before="120" w:after="120"/>
    </w:pPr>
    <w:rPr>
      <w:b/>
      <w:sz w:val="22"/>
    </w:rPr>
  </w:style>
  <w:style w:type="paragraph" w:customStyle="1" w:styleId="BoxText">
    <w:name w:val="Box Text"/>
    <w:basedOn w:val="BoxTextBase"/>
    <w:rsid w:val="00D43F72"/>
  </w:style>
  <w:style w:type="paragraph" w:customStyle="1" w:styleId="BoxTextBase">
    <w:name w:val="Box Text Base"/>
    <w:basedOn w:val="Normal"/>
    <w:rsid w:val="00D43F72"/>
    <w:pPr>
      <w:spacing w:before="120" w:after="120" w:line="240" w:lineRule="auto"/>
    </w:pPr>
  </w:style>
  <w:style w:type="paragraph" w:customStyle="1" w:styleId="ChartandTableFootnoteAlpha">
    <w:name w:val="Chart and Table Footnote Alpha"/>
    <w:rsid w:val="00D43F72"/>
    <w:pPr>
      <w:tabs>
        <w:tab w:val="num" w:pos="283"/>
      </w:tabs>
      <w:ind w:left="283" w:hanging="283"/>
      <w:jc w:val="both"/>
    </w:pPr>
    <w:rPr>
      <w:rFonts w:ascii="Arial" w:hAnsi="Arial"/>
      <w:color w:val="000000"/>
      <w:sz w:val="16"/>
      <w:szCs w:val="16"/>
    </w:rPr>
  </w:style>
  <w:style w:type="paragraph" w:customStyle="1" w:styleId="ChartGraphic">
    <w:name w:val="Chart Graphic"/>
    <w:basedOn w:val="HeadingBase"/>
    <w:next w:val="Normal"/>
    <w:rsid w:val="00AE1D0A"/>
    <w:pPr>
      <w:keepNext w:val="0"/>
      <w:spacing w:before="240" w:after="120"/>
      <w:jc w:val="center"/>
    </w:pPr>
    <w:rPr>
      <w:color w:val="auto"/>
    </w:rPr>
  </w:style>
  <w:style w:type="paragraph" w:customStyle="1" w:styleId="ChartSecondHeading">
    <w:name w:val="Chart Second Heading"/>
    <w:basedOn w:val="HeadingBase"/>
    <w:next w:val="ChartGraphic"/>
    <w:rsid w:val="00D43F72"/>
    <w:pPr>
      <w:spacing w:after="20"/>
      <w:jc w:val="center"/>
    </w:pPr>
  </w:style>
  <w:style w:type="paragraph" w:customStyle="1" w:styleId="Classification">
    <w:name w:val="Classification"/>
    <w:basedOn w:val="HeadingBase"/>
    <w:next w:val="Footer"/>
    <w:rsid w:val="00D43F72"/>
    <w:pPr>
      <w:spacing w:after="120"/>
      <w:jc w:val="center"/>
    </w:pPr>
    <w:rPr>
      <w:b/>
      <w:smallCaps/>
    </w:rPr>
  </w:style>
  <w:style w:type="paragraph" w:styleId="Footer">
    <w:name w:val="footer"/>
    <w:basedOn w:val="Normal"/>
    <w:link w:val="FooterChar"/>
    <w:rsid w:val="00560C30"/>
    <w:pPr>
      <w:tabs>
        <w:tab w:val="center" w:pos="4320"/>
        <w:tab w:val="right" w:pos="7711"/>
      </w:tabs>
      <w:spacing w:after="0" w:line="240" w:lineRule="auto"/>
    </w:pPr>
    <w:rPr>
      <w:rFonts w:ascii="Arial Bold" w:hAnsi="Arial Bold"/>
      <w:b/>
      <w:color w:val="1F497D" w:themeColor="text2"/>
      <w:sz w:val="16"/>
      <w:szCs w:val="16"/>
    </w:rPr>
  </w:style>
  <w:style w:type="paragraph" w:customStyle="1" w:styleId="FooterCentered">
    <w:name w:val="Footer Centered"/>
    <w:basedOn w:val="Footer"/>
    <w:rsid w:val="00D43F72"/>
    <w:pPr>
      <w:jc w:val="center"/>
    </w:pPr>
  </w:style>
  <w:style w:type="paragraph" w:customStyle="1" w:styleId="FooterEven">
    <w:name w:val="Footer Even"/>
    <w:basedOn w:val="Footer"/>
    <w:rsid w:val="00CD0838"/>
    <w:rPr>
      <w:color w:val="0E406A" w:themeColor="accent1"/>
    </w:rPr>
  </w:style>
  <w:style w:type="paragraph" w:customStyle="1" w:styleId="FooterOdd">
    <w:name w:val="Footer Odd"/>
    <w:basedOn w:val="Footer"/>
    <w:rsid w:val="00CD0838"/>
    <w:pPr>
      <w:jc w:val="right"/>
    </w:pPr>
    <w:rPr>
      <w:color w:val="0E406A" w:themeColor="accent1"/>
    </w:rPr>
  </w:style>
  <w:style w:type="character" w:customStyle="1" w:styleId="FramedFooter">
    <w:name w:val="Framed Footer"/>
    <w:rsid w:val="00D43F72"/>
    <w:rPr>
      <w:rFonts w:ascii="Arial" w:hAnsi="Arial"/>
      <w:sz w:val="18"/>
    </w:rPr>
  </w:style>
  <w:style w:type="character" w:customStyle="1" w:styleId="FramedHeader">
    <w:name w:val="Framed Header"/>
    <w:basedOn w:val="DefaultParagraphFont"/>
    <w:rsid w:val="00D43F72"/>
    <w:rPr>
      <w:rFonts w:ascii="Arial Bold" w:hAnsi="Arial Bold"/>
      <w:b/>
      <w:dstrike w:val="0"/>
      <w:color w:val="82002A"/>
      <w:sz w:val="18"/>
      <w:vertAlign w:val="baseline"/>
    </w:rPr>
  </w:style>
  <w:style w:type="paragraph" w:styleId="Header">
    <w:name w:val="header"/>
    <w:basedOn w:val="Normal"/>
    <w:link w:val="HeaderChar"/>
    <w:rsid w:val="00334137"/>
    <w:pPr>
      <w:tabs>
        <w:tab w:val="center" w:pos="4320"/>
        <w:tab w:val="right" w:pos="8640"/>
      </w:tabs>
      <w:spacing w:after="0" w:line="240" w:lineRule="auto"/>
    </w:pPr>
    <w:rPr>
      <w:rFonts w:ascii="Arial Bold" w:hAnsi="Arial Bold"/>
      <w:b/>
      <w:color w:val="1F497D" w:themeColor="text2"/>
      <w:sz w:val="16"/>
    </w:rPr>
  </w:style>
  <w:style w:type="paragraph" w:customStyle="1" w:styleId="HeaderEven">
    <w:name w:val="Header Even"/>
    <w:basedOn w:val="Header"/>
    <w:rsid w:val="00CD0838"/>
    <w:rPr>
      <w:color w:val="0E406A" w:themeColor="accent1"/>
    </w:rPr>
  </w:style>
  <w:style w:type="paragraph" w:customStyle="1" w:styleId="HeaderOdd">
    <w:name w:val="Header Odd"/>
    <w:basedOn w:val="Header"/>
    <w:rsid w:val="00CD0838"/>
    <w:pPr>
      <w:jc w:val="right"/>
    </w:pPr>
    <w:rPr>
      <w:color w:val="0E406A" w:themeColor="accent1"/>
    </w:rPr>
  </w:style>
  <w:style w:type="paragraph" w:styleId="NormalIndent">
    <w:name w:val="Normal Indent"/>
    <w:basedOn w:val="Normal"/>
    <w:rsid w:val="009322A8"/>
    <w:pPr>
      <w:ind w:left="295"/>
    </w:pPr>
    <w:rPr>
      <w:szCs w:val="21"/>
    </w:rPr>
  </w:style>
  <w:style w:type="paragraph" w:customStyle="1" w:styleId="RecommendationHeading">
    <w:name w:val="Recommendation Heading"/>
    <w:basedOn w:val="HeadingBase"/>
    <w:next w:val="RecommendationText"/>
    <w:rsid w:val="00D43F72"/>
    <w:pPr>
      <w:spacing w:after="240"/>
    </w:pPr>
    <w:rPr>
      <w:b/>
      <w:sz w:val="22"/>
    </w:rPr>
  </w:style>
  <w:style w:type="paragraph" w:customStyle="1" w:styleId="RecommendationText">
    <w:name w:val="Recommendation Text"/>
    <w:basedOn w:val="RecommendationBaseText"/>
    <w:rsid w:val="00D43F72"/>
  </w:style>
  <w:style w:type="paragraph" w:customStyle="1" w:styleId="RecommendationBaseText">
    <w:name w:val="Recommendation Base Text"/>
    <w:basedOn w:val="Normal"/>
    <w:rsid w:val="00D43F72"/>
  </w:style>
  <w:style w:type="paragraph" w:customStyle="1" w:styleId="TableColumnHeadingCentred">
    <w:name w:val="Table Column Heading Centred"/>
    <w:basedOn w:val="TableColumnHeadingLeft"/>
    <w:rsid w:val="00286051"/>
    <w:pPr>
      <w:jc w:val="center"/>
    </w:pPr>
    <w:rPr>
      <w:bCs/>
    </w:rPr>
  </w:style>
  <w:style w:type="paragraph" w:customStyle="1" w:styleId="TableColumnHeadingBase">
    <w:name w:val="Table Column Heading Base"/>
    <w:basedOn w:val="Normal"/>
    <w:link w:val="TableColumnHeadingBaseChar"/>
    <w:rsid w:val="00D43F72"/>
    <w:pPr>
      <w:spacing w:before="40" w:after="40" w:line="240" w:lineRule="auto"/>
    </w:pPr>
    <w:rPr>
      <w:rFonts w:ascii="Arial" w:hAnsi="Arial"/>
      <w:b/>
      <w:sz w:val="16"/>
      <w:lang w:eastAsia="en-AU"/>
    </w:rPr>
  </w:style>
  <w:style w:type="paragraph" w:customStyle="1" w:styleId="TableColumnHeadingLeft">
    <w:name w:val="Table Column Heading Left"/>
    <w:basedOn w:val="Normal"/>
    <w:link w:val="TableColumnHeadingLeftChar"/>
    <w:rsid w:val="00B45A6D"/>
    <w:pPr>
      <w:spacing w:before="120" w:after="120" w:line="240" w:lineRule="auto"/>
    </w:pPr>
    <w:rPr>
      <w:rFonts w:ascii="Arial Bold" w:hAnsi="Arial Bold"/>
      <w:b/>
      <w:color w:val="auto"/>
      <w:sz w:val="18"/>
    </w:rPr>
  </w:style>
  <w:style w:type="paragraph" w:customStyle="1" w:styleId="TableColumnHeadingRight">
    <w:name w:val="Table Column Heading Right"/>
    <w:basedOn w:val="TableColumnHeadingCentre-White"/>
    <w:rsid w:val="00B45A6D"/>
    <w:pPr>
      <w:jc w:val="right"/>
    </w:pPr>
  </w:style>
  <w:style w:type="paragraph" w:customStyle="1" w:styleId="TableGraphic">
    <w:name w:val="Table Graphic"/>
    <w:basedOn w:val="HeadingBase"/>
    <w:next w:val="Normal"/>
    <w:rsid w:val="00D43F72"/>
    <w:pPr>
      <w:spacing w:after="20"/>
      <w:ind w:right="-113"/>
    </w:pPr>
  </w:style>
  <w:style w:type="paragraph" w:customStyle="1" w:styleId="TableSecondHeading">
    <w:name w:val="Table Second Heading"/>
    <w:basedOn w:val="HeadingBase"/>
    <w:next w:val="TableGraphic"/>
    <w:rsid w:val="00D43F72"/>
    <w:pPr>
      <w:spacing w:after="20"/>
    </w:pPr>
  </w:style>
  <w:style w:type="paragraph" w:styleId="TOC1">
    <w:name w:val="toc 1"/>
    <w:basedOn w:val="Normal"/>
    <w:next w:val="Normal"/>
    <w:uiPriority w:val="39"/>
    <w:rsid w:val="0089578B"/>
    <w:pPr>
      <w:tabs>
        <w:tab w:val="right" w:leader="dot" w:pos="7711"/>
      </w:tabs>
      <w:spacing w:before="120" w:after="40" w:line="260" w:lineRule="exact"/>
    </w:pPr>
    <w:rPr>
      <w:rFonts w:ascii="Arial Bold" w:hAnsi="Arial Bold"/>
      <w:b/>
      <w:caps/>
      <w:noProof/>
      <w:color w:val="0E406A" w:themeColor="accent1"/>
      <w:sz w:val="20"/>
    </w:rPr>
  </w:style>
  <w:style w:type="paragraph" w:styleId="TOC2">
    <w:name w:val="toc 2"/>
    <w:basedOn w:val="Normal"/>
    <w:next w:val="Normal"/>
    <w:uiPriority w:val="39"/>
    <w:rsid w:val="002D7047"/>
    <w:pPr>
      <w:tabs>
        <w:tab w:val="right" w:leader="dot" w:pos="7711"/>
      </w:tabs>
      <w:spacing w:after="0" w:line="260" w:lineRule="exact"/>
      <w:ind w:left="992" w:right="851" w:hanging="992"/>
    </w:pPr>
    <w:rPr>
      <w:rFonts w:ascii="Arial" w:hAnsi="Arial"/>
      <w:noProof/>
      <w:sz w:val="20"/>
    </w:rPr>
  </w:style>
  <w:style w:type="paragraph" w:styleId="TOC3">
    <w:name w:val="toc 3"/>
    <w:basedOn w:val="TOC2"/>
    <w:next w:val="Normal"/>
    <w:autoRedefine/>
    <w:uiPriority w:val="39"/>
    <w:rsid w:val="00FA0841"/>
    <w:pPr>
      <w:tabs>
        <w:tab w:val="left" w:pos="907"/>
      </w:tabs>
      <w:spacing w:after="30"/>
    </w:pPr>
    <w:rPr>
      <w:rFonts w:eastAsia="Batang"/>
    </w:rPr>
  </w:style>
  <w:style w:type="paragraph" w:styleId="TOC4">
    <w:name w:val="toc 4"/>
    <w:basedOn w:val="Index1"/>
    <w:next w:val="Normal"/>
    <w:uiPriority w:val="39"/>
    <w:rsid w:val="00764556"/>
    <w:pPr>
      <w:tabs>
        <w:tab w:val="clear" w:pos="4449"/>
        <w:tab w:val="right" w:leader="hyphen" w:pos="3402"/>
      </w:tabs>
    </w:pPr>
    <w:rPr>
      <w:noProof/>
    </w:rPr>
  </w:style>
  <w:style w:type="paragraph" w:customStyle="1" w:styleId="OneLevelNumberedParagraph">
    <w:name w:val="One Level Numbered Paragraph"/>
    <w:basedOn w:val="Normal"/>
    <w:rsid w:val="00D43F72"/>
    <w:pPr>
      <w:numPr>
        <w:numId w:val="2"/>
      </w:numPr>
    </w:pPr>
  </w:style>
  <w:style w:type="paragraph" w:customStyle="1" w:styleId="BoxBullet">
    <w:name w:val="Box Bullet"/>
    <w:basedOn w:val="BoxTextBase"/>
    <w:rsid w:val="00D43F72"/>
    <w:pPr>
      <w:numPr>
        <w:numId w:val="1"/>
      </w:numPr>
      <w:spacing w:before="0" w:after="240" w:line="260" w:lineRule="exact"/>
      <w:jc w:val="both"/>
    </w:pPr>
  </w:style>
  <w:style w:type="paragraph" w:customStyle="1" w:styleId="BoxDash">
    <w:name w:val="Box Dash"/>
    <w:basedOn w:val="Normal"/>
    <w:rsid w:val="00D43F72"/>
    <w:pPr>
      <w:numPr>
        <w:ilvl w:val="1"/>
        <w:numId w:val="1"/>
      </w:numPr>
      <w:spacing w:line="260" w:lineRule="exact"/>
      <w:jc w:val="both"/>
    </w:pPr>
  </w:style>
  <w:style w:type="paragraph" w:customStyle="1" w:styleId="BoxDoubleDot">
    <w:name w:val="Box Double Dot"/>
    <w:basedOn w:val="BoxTextBase"/>
    <w:rsid w:val="00D43F72"/>
    <w:pPr>
      <w:numPr>
        <w:ilvl w:val="2"/>
        <w:numId w:val="1"/>
      </w:numPr>
      <w:spacing w:before="0" w:after="240" w:line="260" w:lineRule="exact"/>
      <w:jc w:val="both"/>
    </w:pPr>
  </w:style>
  <w:style w:type="paragraph" w:customStyle="1" w:styleId="RecommendationBullet">
    <w:name w:val="Recommendation Bullet"/>
    <w:basedOn w:val="RecommendationBaseText"/>
    <w:rsid w:val="00D43F72"/>
    <w:pPr>
      <w:tabs>
        <w:tab w:val="num" w:pos="850"/>
      </w:tabs>
      <w:ind w:left="850" w:hanging="283"/>
    </w:pPr>
  </w:style>
  <w:style w:type="paragraph" w:customStyle="1" w:styleId="RecommendationDash">
    <w:name w:val="Recommendation Dash"/>
    <w:basedOn w:val="RecommendationBaseText"/>
    <w:rsid w:val="00D43F72"/>
    <w:pPr>
      <w:numPr>
        <w:numId w:val="4"/>
      </w:numPr>
    </w:pPr>
  </w:style>
  <w:style w:type="paragraph" w:customStyle="1" w:styleId="RecommendationDoubleDot">
    <w:name w:val="Recommendation Double Dot"/>
    <w:basedOn w:val="RecommendationBaseText"/>
    <w:rsid w:val="00D43F72"/>
    <w:pPr>
      <w:numPr>
        <w:ilvl w:val="1"/>
        <w:numId w:val="4"/>
      </w:numPr>
    </w:pPr>
  </w:style>
  <w:style w:type="paragraph" w:styleId="IndexHeading">
    <w:name w:val="index heading"/>
    <w:basedOn w:val="Normal"/>
    <w:next w:val="Index1"/>
    <w:uiPriority w:val="99"/>
    <w:rsid w:val="00CD664C"/>
    <w:pPr>
      <w:keepNext/>
      <w:pBdr>
        <w:top w:val="single" w:sz="8" w:space="4" w:color="1F497D"/>
      </w:pBdr>
      <w:tabs>
        <w:tab w:val="right" w:leader="dot" w:pos="3485"/>
      </w:tabs>
      <w:spacing w:before="120" w:after="60" w:line="240" w:lineRule="auto"/>
    </w:pPr>
    <w:rPr>
      <w:b/>
      <w:noProof/>
      <w:color w:val="1F497D" w:themeColor="text2"/>
      <w:sz w:val="26"/>
      <w:szCs w:val="26"/>
    </w:rPr>
  </w:style>
  <w:style w:type="paragraph" w:customStyle="1" w:styleId="Compliancetableleft">
    <w:name w:val="Compliance table left"/>
    <w:basedOn w:val="Normal"/>
    <w:rsid w:val="00D43F72"/>
    <w:pPr>
      <w:spacing w:before="40" w:after="40" w:line="240" w:lineRule="auto"/>
    </w:pPr>
    <w:rPr>
      <w:rFonts w:ascii="Arial" w:hAnsi="Arial"/>
      <w:snapToGrid w:val="0"/>
      <w:sz w:val="20"/>
    </w:rPr>
  </w:style>
  <w:style w:type="paragraph" w:customStyle="1" w:styleId="Compliancetableright">
    <w:name w:val="Compliance table right"/>
    <w:basedOn w:val="Normal"/>
    <w:rsid w:val="00D43F72"/>
    <w:pPr>
      <w:spacing w:before="40" w:after="40" w:line="240" w:lineRule="auto"/>
      <w:jc w:val="right"/>
    </w:pPr>
    <w:rPr>
      <w:rFonts w:ascii="Arial" w:hAnsi="Arial"/>
      <w:snapToGrid w:val="0"/>
      <w:sz w:val="20"/>
    </w:rPr>
  </w:style>
  <w:style w:type="paragraph" w:customStyle="1" w:styleId="Headinglevel5alpha">
    <w:name w:val="Heading level 5 alpha"/>
    <w:basedOn w:val="Normal"/>
    <w:rsid w:val="00D43F72"/>
    <w:pPr>
      <w:keepNext/>
      <w:numPr>
        <w:numId w:val="3"/>
      </w:numPr>
      <w:tabs>
        <w:tab w:val="left" w:pos="1134"/>
      </w:tabs>
      <w:spacing w:before="100" w:after="120" w:line="240" w:lineRule="auto"/>
      <w:outlineLvl w:val="3"/>
    </w:pPr>
    <w:rPr>
      <w:rFonts w:ascii="Arial Bold" w:hAnsi="Arial Bold"/>
      <w:b/>
      <w:color w:val="82002A"/>
      <w:sz w:val="20"/>
      <w:lang w:eastAsia="en-AU"/>
    </w:rPr>
  </w:style>
  <w:style w:type="paragraph" w:styleId="Index2">
    <w:name w:val="index 2"/>
    <w:basedOn w:val="Normal"/>
    <w:next w:val="Normal"/>
    <w:autoRedefine/>
    <w:semiHidden/>
    <w:rsid w:val="00D43F72"/>
    <w:pPr>
      <w:spacing w:after="0"/>
      <w:ind w:left="420" w:hanging="210"/>
    </w:pPr>
    <w:rPr>
      <w:sz w:val="18"/>
    </w:rPr>
  </w:style>
  <w:style w:type="paragraph" w:customStyle="1" w:styleId="Tablesinglespacetext">
    <w:name w:val="Table single space text"/>
    <w:basedOn w:val="TableTextBase"/>
    <w:rsid w:val="00D43F72"/>
    <w:pPr>
      <w:spacing w:after="0"/>
    </w:pPr>
  </w:style>
  <w:style w:type="paragraph" w:customStyle="1" w:styleId="TableTextBase">
    <w:name w:val="Table Text Base"/>
    <w:rsid w:val="00D43F72"/>
    <w:pPr>
      <w:spacing w:before="20" w:after="20"/>
    </w:pPr>
    <w:rPr>
      <w:rFonts w:ascii="Arial" w:hAnsi="Arial"/>
      <w:color w:val="000000"/>
      <w:sz w:val="16"/>
    </w:rPr>
  </w:style>
  <w:style w:type="paragraph" w:customStyle="1" w:styleId="Chartfootnote">
    <w:name w:val="Chart footnote"/>
    <w:basedOn w:val="Normal"/>
    <w:next w:val="Normal"/>
    <w:rsid w:val="004C07DB"/>
    <w:pPr>
      <w:keepLines/>
      <w:tabs>
        <w:tab w:val="left" w:pos="567"/>
      </w:tabs>
      <w:spacing w:after="0" w:line="240" w:lineRule="auto"/>
      <w:ind w:left="567" w:hanging="567"/>
    </w:pPr>
    <w:rPr>
      <w:rFonts w:ascii="Arial" w:hAnsi="Arial"/>
      <w:sz w:val="16"/>
    </w:rPr>
  </w:style>
  <w:style w:type="paragraph" w:customStyle="1" w:styleId="TableTextLeft-Garamond">
    <w:name w:val="Table Text Left - Garamond"/>
    <w:basedOn w:val="Normal"/>
    <w:rsid w:val="009B33CD"/>
    <w:pPr>
      <w:spacing w:before="120" w:after="120"/>
    </w:pPr>
  </w:style>
  <w:style w:type="paragraph" w:customStyle="1" w:styleId="TableTextRight">
    <w:name w:val="Table Text Right"/>
    <w:basedOn w:val="TableTextBase"/>
    <w:rsid w:val="00D43F72"/>
    <w:pPr>
      <w:jc w:val="right"/>
    </w:pPr>
  </w:style>
  <w:style w:type="paragraph" w:customStyle="1" w:styleId="Normal3ptafter">
    <w:name w:val="Normal 3pt after"/>
    <w:basedOn w:val="Normal"/>
    <w:rsid w:val="00D43F72"/>
    <w:pPr>
      <w:spacing w:after="60" w:line="240" w:lineRule="auto"/>
      <w:ind w:left="34"/>
      <w:jc w:val="both"/>
    </w:pPr>
  </w:style>
  <w:style w:type="paragraph" w:customStyle="1" w:styleId="AppendixHeading">
    <w:name w:val="Appendix Heading"/>
    <w:basedOn w:val="HeadingBase"/>
    <w:next w:val="Normal"/>
    <w:rsid w:val="00D43F72"/>
    <w:pPr>
      <w:spacing w:after="360"/>
    </w:pPr>
    <w:rPr>
      <w:rFonts w:ascii="Arial Bold" w:hAnsi="Arial Bold"/>
      <w:b/>
      <w:smallCaps/>
      <w:sz w:val="36"/>
      <w:szCs w:val="36"/>
    </w:rPr>
  </w:style>
  <w:style w:type="paragraph" w:styleId="BalloonText">
    <w:name w:val="Balloon Text"/>
    <w:basedOn w:val="Normal"/>
    <w:link w:val="BalloonTextChar"/>
    <w:semiHidden/>
    <w:rsid w:val="00D43F72"/>
    <w:rPr>
      <w:rFonts w:ascii="Tahoma" w:hAnsi="Tahoma" w:cs="Tahoma"/>
      <w:sz w:val="16"/>
      <w:szCs w:val="16"/>
    </w:rPr>
  </w:style>
  <w:style w:type="paragraph" w:styleId="BlockText">
    <w:name w:val="Block Text"/>
    <w:basedOn w:val="Normal"/>
    <w:rsid w:val="00D43F72"/>
    <w:pPr>
      <w:tabs>
        <w:tab w:val="left" w:pos="3969"/>
      </w:tabs>
      <w:spacing w:after="120"/>
      <w:ind w:left="3969" w:right="-227" w:hanging="3402"/>
    </w:pPr>
  </w:style>
  <w:style w:type="paragraph" w:styleId="BodyText">
    <w:name w:val="Body Text"/>
    <w:basedOn w:val="Normal"/>
    <w:link w:val="BodyTextChar"/>
    <w:rsid w:val="00D43F72"/>
    <w:rPr>
      <w:rFonts w:ascii="GillSans" w:hAnsi="GillSans"/>
      <w:b/>
      <w:snapToGrid w:val="0"/>
      <w:sz w:val="23"/>
    </w:rPr>
  </w:style>
  <w:style w:type="paragraph" w:customStyle="1" w:styleId="BodyText1">
    <w:name w:val="Body Text 1"/>
    <w:basedOn w:val="BodyText"/>
    <w:autoRedefine/>
    <w:rsid w:val="00D43F72"/>
    <w:pPr>
      <w:spacing w:line="240" w:lineRule="auto"/>
      <w:ind w:left="851"/>
    </w:pPr>
    <w:rPr>
      <w:rFonts w:ascii="Book Antiqua" w:hAnsi="Book Antiqua"/>
      <w:b w:val="0"/>
      <w:snapToGrid/>
      <w:sz w:val="24"/>
    </w:rPr>
  </w:style>
  <w:style w:type="paragraph" w:styleId="BodyText2">
    <w:name w:val="Body Text 2"/>
    <w:basedOn w:val="Normal"/>
    <w:link w:val="BodyText2Char"/>
    <w:rsid w:val="00D43F72"/>
    <w:pPr>
      <w:spacing w:after="120" w:line="480" w:lineRule="auto"/>
    </w:pPr>
  </w:style>
  <w:style w:type="paragraph" w:styleId="BodyTextIndent">
    <w:name w:val="Body Text Indent"/>
    <w:basedOn w:val="Normal"/>
    <w:link w:val="BodyTextIndentChar"/>
    <w:rsid w:val="00D43F72"/>
    <w:pPr>
      <w:spacing w:line="240" w:lineRule="auto"/>
    </w:pPr>
    <w:rPr>
      <w:sz w:val="15"/>
    </w:rPr>
  </w:style>
  <w:style w:type="paragraph" w:styleId="BodyTextIndent2">
    <w:name w:val="Body Text Indent 2"/>
    <w:basedOn w:val="Normal"/>
    <w:link w:val="BodyTextIndent2Char"/>
    <w:rsid w:val="00D43F72"/>
    <w:pPr>
      <w:spacing w:after="120"/>
    </w:pPr>
  </w:style>
  <w:style w:type="paragraph" w:styleId="BodyTextIndent3">
    <w:name w:val="Body Text Indent 3"/>
    <w:basedOn w:val="Normal"/>
    <w:link w:val="BodyTextIndent3Char"/>
    <w:rsid w:val="00D43F72"/>
    <w:pPr>
      <w:spacing w:after="120"/>
      <w:ind w:left="4111" w:hanging="3544"/>
    </w:pPr>
  </w:style>
  <w:style w:type="paragraph" w:customStyle="1" w:styleId="ChartMainHeading">
    <w:name w:val="Chart Main Heading"/>
    <w:basedOn w:val="HeadingBase"/>
    <w:next w:val="ChartGraphic"/>
    <w:rsid w:val="00B45A6D"/>
    <w:pPr>
      <w:spacing w:before="240" w:after="80"/>
      <w:jc w:val="center"/>
    </w:pPr>
    <w:rPr>
      <w:b/>
      <w:noProof/>
      <w:color w:val="000000" w:themeColor="text1"/>
      <w:sz w:val="21"/>
      <w:szCs w:val="21"/>
    </w:rPr>
  </w:style>
  <w:style w:type="paragraph" w:customStyle="1" w:styleId="ChartorTableNote">
    <w:name w:val="Chart or Table Note"/>
    <w:next w:val="Normal"/>
    <w:rsid w:val="000B5593"/>
    <w:pPr>
      <w:tabs>
        <w:tab w:val="left" w:pos="567"/>
      </w:tabs>
      <w:spacing w:before="120" w:after="240"/>
    </w:pPr>
    <w:rPr>
      <w:rFonts w:ascii="Arial" w:hAnsi="Arial"/>
      <w:color w:val="000000"/>
      <w:sz w:val="16"/>
    </w:rPr>
  </w:style>
  <w:style w:type="character" w:styleId="CommentReference">
    <w:name w:val="annotation reference"/>
    <w:basedOn w:val="DefaultParagraphFont"/>
    <w:semiHidden/>
    <w:rsid w:val="00D43F72"/>
    <w:rPr>
      <w:sz w:val="16"/>
      <w:szCs w:val="16"/>
    </w:rPr>
  </w:style>
  <w:style w:type="paragraph" w:styleId="CommentText">
    <w:name w:val="annotation text"/>
    <w:basedOn w:val="Normal"/>
    <w:link w:val="CommentTextChar"/>
    <w:semiHidden/>
    <w:rsid w:val="00D43F72"/>
    <w:rPr>
      <w:sz w:val="20"/>
    </w:rPr>
  </w:style>
  <w:style w:type="paragraph" w:styleId="CommentSubject">
    <w:name w:val="annotation subject"/>
    <w:basedOn w:val="CommentText"/>
    <w:next w:val="CommentText"/>
    <w:link w:val="CommentSubjectChar"/>
    <w:semiHidden/>
    <w:rsid w:val="00D43F72"/>
    <w:rPr>
      <w:b/>
      <w:bCs/>
    </w:rPr>
  </w:style>
  <w:style w:type="paragraph" w:customStyle="1" w:styleId="ContentsHeading">
    <w:name w:val="Contents Heading"/>
    <w:basedOn w:val="Heading1"/>
    <w:next w:val="Normal"/>
    <w:rsid w:val="00A818C0"/>
    <w:pPr>
      <w:spacing w:after="240"/>
    </w:pPr>
  </w:style>
  <w:style w:type="paragraph" w:customStyle="1" w:styleId="CoverTitleMain">
    <w:name w:val="Cover Title Main"/>
    <w:basedOn w:val="HeadingBase"/>
    <w:next w:val="Normal"/>
    <w:rsid w:val="00D43F72"/>
    <w:pPr>
      <w:spacing w:before="240" w:after="60"/>
      <w:ind w:left="567"/>
      <w:jc w:val="center"/>
    </w:pPr>
    <w:rPr>
      <w:rFonts w:ascii="Times New Roman" w:hAnsi="Times New Roman"/>
      <w:b/>
      <w:kern w:val="28"/>
      <w:sz w:val="72"/>
      <w:szCs w:val="60"/>
    </w:rPr>
  </w:style>
  <w:style w:type="paragraph" w:customStyle="1" w:styleId="CoverTitleSub">
    <w:name w:val="Cover Title Sub"/>
    <w:basedOn w:val="HeadingBase"/>
    <w:rsid w:val="00D43F72"/>
    <w:pPr>
      <w:spacing w:after="240"/>
      <w:ind w:left="567"/>
      <w:jc w:val="center"/>
    </w:pPr>
    <w:rPr>
      <w:rFonts w:ascii="Times New Roman" w:hAnsi="Times New Roman"/>
      <w:b/>
      <w:sz w:val="52"/>
    </w:rPr>
  </w:style>
  <w:style w:type="paragraph" w:styleId="DocumentMap">
    <w:name w:val="Document Map"/>
    <w:basedOn w:val="Normal"/>
    <w:link w:val="DocumentMapChar"/>
    <w:semiHidden/>
    <w:rsid w:val="00D43F72"/>
    <w:pPr>
      <w:shd w:val="clear" w:color="auto" w:fill="000080"/>
    </w:pPr>
    <w:rPr>
      <w:rFonts w:ascii="Tahoma" w:hAnsi="Tahoma"/>
    </w:rPr>
  </w:style>
  <w:style w:type="paragraph" w:customStyle="1" w:styleId="FinancialNoteHeading">
    <w:name w:val="Financial Note Heading"/>
    <w:basedOn w:val="Heading3"/>
    <w:rsid w:val="00D43F72"/>
  </w:style>
  <w:style w:type="paragraph" w:styleId="Index3">
    <w:name w:val="index 3"/>
    <w:basedOn w:val="Normal"/>
    <w:next w:val="Normal"/>
    <w:autoRedefine/>
    <w:semiHidden/>
    <w:rsid w:val="00D43F72"/>
    <w:pPr>
      <w:spacing w:after="0"/>
      <w:ind w:left="630" w:hanging="210"/>
    </w:pPr>
    <w:rPr>
      <w:sz w:val="18"/>
    </w:rPr>
  </w:style>
  <w:style w:type="paragraph" w:styleId="Index4">
    <w:name w:val="index 4"/>
    <w:basedOn w:val="Normal"/>
    <w:next w:val="Normal"/>
    <w:autoRedefine/>
    <w:semiHidden/>
    <w:rsid w:val="00D43F72"/>
    <w:pPr>
      <w:spacing w:after="0"/>
      <w:ind w:left="840" w:hanging="210"/>
    </w:pPr>
    <w:rPr>
      <w:sz w:val="18"/>
    </w:rPr>
  </w:style>
  <w:style w:type="paragraph" w:styleId="Index5">
    <w:name w:val="index 5"/>
    <w:basedOn w:val="Normal"/>
    <w:next w:val="Normal"/>
    <w:autoRedefine/>
    <w:semiHidden/>
    <w:rsid w:val="00D43F72"/>
    <w:pPr>
      <w:spacing w:after="0"/>
      <w:ind w:left="1050" w:hanging="210"/>
    </w:pPr>
    <w:rPr>
      <w:sz w:val="18"/>
    </w:rPr>
  </w:style>
  <w:style w:type="paragraph" w:styleId="Index6">
    <w:name w:val="index 6"/>
    <w:basedOn w:val="Normal"/>
    <w:next w:val="Normal"/>
    <w:autoRedefine/>
    <w:semiHidden/>
    <w:rsid w:val="00D43F72"/>
    <w:pPr>
      <w:spacing w:after="0"/>
      <w:ind w:left="1260" w:hanging="210"/>
    </w:pPr>
    <w:rPr>
      <w:sz w:val="18"/>
    </w:rPr>
  </w:style>
  <w:style w:type="paragraph" w:styleId="Index7">
    <w:name w:val="index 7"/>
    <w:basedOn w:val="Normal"/>
    <w:next w:val="Normal"/>
    <w:autoRedefine/>
    <w:semiHidden/>
    <w:rsid w:val="00D43F72"/>
    <w:pPr>
      <w:spacing w:after="0"/>
      <w:ind w:left="1470" w:hanging="210"/>
    </w:pPr>
    <w:rPr>
      <w:sz w:val="18"/>
    </w:rPr>
  </w:style>
  <w:style w:type="paragraph" w:styleId="Index8">
    <w:name w:val="index 8"/>
    <w:basedOn w:val="Normal"/>
    <w:next w:val="Normal"/>
    <w:autoRedefine/>
    <w:semiHidden/>
    <w:rsid w:val="00D43F72"/>
    <w:pPr>
      <w:spacing w:after="0"/>
      <w:ind w:left="1680" w:hanging="210"/>
    </w:pPr>
    <w:rPr>
      <w:sz w:val="18"/>
    </w:rPr>
  </w:style>
  <w:style w:type="paragraph" w:styleId="Index9">
    <w:name w:val="index 9"/>
    <w:basedOn w:val="Normal"/>
    <w:next w:val="Normal"/>
    <w:autoRedefine/>
    <w:semiHidden/>
    <w:rsid w:val="00D43F72"/>
    <w:pPr>
      <w:spacing w:after="0"/>
      <w:ind w:left="1890" w:hanging="210"/>
    </w:pPr>
    <w:rPr>
      <w:sz w:val="18"/>
    </w:rPr>
  </w:style>
  <w:style w:type="paragraph" w:customStyle="1" w:styleId="Levela">
    <w:name w:val="Level (a)"/>
    <w:basedOn w:val="Normal"/>
    <w:next w:val="Normal"/>
    <w:rsid w:val="00D43F72"/>
    <w:pPr>
      <w:widowControl w:val="0"/>
      <w:tabs>
        <w:tab w:val="left" w:pos="1440"/>
      </w:tabs>
      <w:spacing w:before="240" w:after="0" w:line="240" w:lineRule="auto"/>
      <w:ind w:left="1440" w:hanging="720"/>
    </w:pPr>
  </w:style>
  <w:style w:type="paragraph" w:customStyle="1" w:styleId="Note">
    <w:name w:val="Note"/>
    <w:basedOn w:val="Normal"/>
    <w:next w:val="Normal"/>
    <w:autoRedefine/>
    <w:rsid w:val="00D43F72"/>
    <w:pPr>
      <w:keepNext/>
      <w:tabs>
        <w:tab w:val="left" w:pos="284"/>
      </w:tabs>
      <w:spacing w:after="120" w:line="240" w:lineRule="auto"/>
      <w:jc w:val="center"/>
    </w:pPr>
    <w:rPr>
      <w:rFonts w:ascii="Arial Bold" w:hAnsi="Arial Bold" w:cs="Arial"/>
      <w:b/>
      <w:snapToGrid w:val="0"/>
      <w:color w:val="82002A"/>
      <w:sz w:val="16"/>
    </w:rPr>
  </w:style>
  <w:style w:type="paragraph" w:styleId="NoteHeading">
    <w:name w:val="Note Heading"/>
    <w:basedOn w:val="Normal"/>
    <w:next w:val="Normal"/>
    <w:link w:val="NoteHeadingChar"/>
    <w:autoRedefine/>
    <w:rsid w:val="00D43F72"/>
    <w:rPr>
      <w:rFonts w:ascii="Arial Bold" w:hAnsi="Arial Bold"/>
      <w:b/>
      <w:color w:val="82002A"/>
      <w:sz w:val="24"/>
    </w:rPr>
  </w:style>
  <w:style w:type="paragraph" w:customStyle="1" w:styleId="NoteHeading6">
    <w:name w:val="NoteHeading6"/>
    <w:basedOn w:val="Heading6"/>
    <w:autoRedefine/>
    <w:rsid w:val="00D43F72"/>
  </w:style>
  <w:style w:type="paragraph" w:customStyle="1" w:styleId="TableMainHeading">
    <w:name w:val="Table Main Heading"/>
    <w:basedOn w:val="HeadingBase"/>
    <w:next w:val="TableGraphic"/>
    <w:rsid w:val="00B45A6D"/>
    <w:pPr>
      <w:spacing w:before="240" w:after="120"/>
    </w:pPr>
    <w:rPr>
      <w:b/>
      <w:color w:val="000000" w:themeColor="text1"/>
      <w:sz w:val="21"/>
      <w:szCs w:val="21"/>
    </w:rPr>
  </w:style>
  <w:style w:type="paragraph" w:customStyle="1" w:styleId="TableMainHeadingContd">
    <w:name w:val="Table Main Heading Contd"/>
    <w:basedOn w:val="HeadingBase"/>
    <w:next w:val="TableGraphic"/>
    <w:rsid w:val="00A17CD7"/>
    <w:pPr>
      <w:pageBreakBefore/>
      <w:spacing w:after="120"/>
    </w:pPr>
    <w:rPr>
      <w:b/>
      <w:color w:val="000000" w:themeColor="text1"/>
      <w:sz w:val="21"/>
    </w:rPr>
  </w:style>
  <w:style w:type="paragraph" w:customStyle="1" w:styleId="Tablenumbers">
    <w:name w:val="Table numbers"/>
    <w:basedOn w:val="Normal"/>
    <w:rsid w:val="00D43F72"/>
    <w:pPr>
      <w:spacing w:after="0" w:line="240" w:lineRule="auto"/>
      <w:jc w:val="right"/>
    </w:pPr>
    <w:rPr>
      <w:snapToGrid w:val="0"/>
      <w:sz w:val="16"/>
    </w:rPr>
  </w:style>
  <w:style w:type="paragraph" w:styleId="TableofFigures">
    <w:name w:val="table of figures"/>
    <w:basedOn w:val="Normal"/>
    <w:next w:val="Normal"/>
    <w:semiHidden/>
    <w:rsid w:val="00D43F72"/>
    <w:pPr>
      <w:ind w:left="440" w:hanging="440"/>
    </w:pPr>
  </w:style>
  <w:style w:type="paragraph" w:customStyle="1" w:styleId="TableTextCentered">
    <w:name w:val="Table Text Centered"/>
    <w:basedOn w:val="TableTextBase"/>
    <w:rsid w:val="004B09D3"/>
    <w:pPr>
      <w:spacing w:before="120" w:after="120" w:line="240" w:lineRule="exact"/>
      <w:jc w:val="center"/>
    </w:pPr>
    <w:rPr>
      <w:sz w:val="19"/>
    </w:rPr>
  </w:style>
  <w:style w:type="paragraph" w:customStyle="1" w:styleId="TableTextIndented">
    <w:name w:val="Table Text Indented"/>
    <w:basedOn w:val="TableTextBase"/>
    <w:rsid w:val="00D43F72"/>
    <w:pPr>
      <w:ind w:left="284"/>
    </w:pPr>
  </w:style>
  <w:style w:type="paragraph" w:styleId="TOC5">
    <w:name w:val="toc 5"/>
    <w:basedOn w:val="Normal"/>
    <w:next w:val="Normal"/>
    <w:autoRedefine/>
    <w:semiHidden/>
    <w:rsid w:val="00D43F72"/>
    <w:pPr>
      <w:ind w:left="800"/>
    </w:pPr>
  </w:style>
  <w:style w:type="paragraph" w:styleId="TOC6">
    <w:name w:val="toc 6"/>
    <w:basedOn w:val="Normal"/>
    <w:next w:val="Normal"/>
    <w:autoRedefine/>
    <w:semiHidden/>
    <w:rsid w:val="00D43F72"/>
    <w:pPr>
      <w:ind w:left="1000"/>
    </w:pPr>
  </w:style>
  <w:style w:type="paragraph" w:styleId="TOC7">
    <w:name w:val="toc 7"/>
    <w:basedOn w:val="Normal"/>
    <w:next w:val="Normal"/>
    <w:autoRedefine/>
    <w:semiHidden/>
    <w:rsid w:val="00D43F72"/>
    <w:pPr>
      <w:ind w:left="1200"/>
    </w:pPr>
  </w:style>
  <w:style w:type="paragraph" w:styleId="TOC8">
    <w:name w:val="toc 8"/>
    <w:basedOn w:val="Normal"/>
    <w:next w:val="Normal"/>
    <w:autoRedefine/>
    <w:semiHidden/>
    <w:rsid w:val="00D43F72"/>
    <w:pPr>
      <w:ind w:left="1400"/>
    </w:pPr>
  </w:style>
  <w:style w:type="paragraph" w:styleId="TOC9">
    <w:name w:val="toc 9"/>
    <w:basedOn w:val="Normal"/>
    <w:next w:val="Normal"/>
    <w:autoRedefine/>
    <w:semiHidden/>
    <w:rsid w:val="00D43F72"/>
    <w:pPr>
      <w:ind w:left="1600"/>
    </w:pPr>
  </w:style>
  <w:style w:type="paragraph" w:customStyle="1" w:styleId="Quotestyle">
    <w:name w:val="Quote style"/>
    <w:basedOn w:val="Normal"/>
    <w:next w:val="Normal"/>
    <w:rsid w:val="00D43F72"/>
    <w:pPr>
      <w:ind w:left="851"/>
    </w:pPr>
    <w:rPr>
      <w:i/>
    </w:rPr>
  </w:style>
  <w:style w:type="paragraph" w:customStyle="1" w:styleId="TakeoversPanelLogoTable">
    <w:name w:val="Takeovers Panel Logo Table"/>
    <w:basedOn w:val="Normal"/>
    <w:rsid w:val="00D43F72"/>
    <w:pPr>
      <w:spacing w:before="80"/>
    </w:pPr>
    <w:rPr>
      <w:b/>
      <w:bCs/>
    </w:rPr>
  </w:style>
  <w:style w:type="paragraph" w:customStyle="1" w:styleId="HeadingBaseStyle">
    <w:name w:val="HeadingBaseStyle"/>
    <w:basedOn w:val="Normal"/>
    <w:link w:val="HeadingBaseStyleChar"/>
    <w:rsid w:val="00D43F72"/>
    <w:pPr>
      <w:spacing w:after="0" w:line="240" w:lineRule="auto"/>
    </w:pPr>
    <w:rPr>
      <w:lang w:val="en-US"/>
    </w:rPr>
  </w:style>
  <w:style w:type="character" w:customStyle="1" w:styleId="HeadingBaseStyleChar">
    <w:name w:val="HeadingBaseStyle Char"/>
    <w:basedOn w:val="DefaultParagraphFont"/>
    <w:link w:val="HeadingBaseStyle"/>
    <w:rsid w:val="00D43F72"/>
    <w:rPr>
      <w:rFonts w:ascii="Book Antiqua" w:hAnsi="Book Antiqua"/>
      <w:color w:val="000000"/>
      <w:sz w:val="21"/>
      <w:lang w:val="en-US" w:eastAsia="en-US"/>
    </w:rPr>
  </w:style>
  <w:style w:type="paragraph" w:customStyle="1" w:styleId="compliancetableright0">
    <w:name w:val="compliance table right"/>
    <w:basedOn w:val="Normal"/>
    <w:rsid w:val="00D43F72"/>
    <w:pPr>
      <w:spacing w:before="20" w:after="20" w:line="240" w:lineRule="auto"/>
      <w:jc w:val="right"/>
    </w:pPr>
    <w:rPr>
      <w:rFonts w:ascii="Arial" w:hAnsi="Arial"/>
      <w:snapToGrid w:val="0"/>
      <w:sz w:val="20"/>
    </w:rPr>
  </w:style>
  <w:style w:type="paragraph" w:customStyle="1" w:styleId="NumberedPara">
    <w:name w:val="Numbered Para"/>
    <w:basedOn w:val="Headinglevel5alpha"/>
    <w:rsid w:val="00D43F72"/>
    <w:pPr>
      <w:numPr>
        <w:numId w:val="0"/>
      </w:numPr>
    </w:pPr>
  </w:style>
  <w:style w:type="paragraph" w:customStyle="1" w:styleId="Table3ptafter">
    <w:name w:val="Table 3pt after"/>
    <w:basedOn w:val="Normal"/>
    <w:rsid w:val="00D43F72"/>
    <w:pPr>
      <w:spacing w:after="60" w:line="240" w:lineRule="auto"/>
      <w:ind w:left="34"/>
      <w:jc w:val="both"/>
    </w:pPr>
    <w:rPr>
      <w:rFonts w:ascii="Arial" w:hAnsi="Arial"/>
      <w:sz w:val="20"/>
    </w:rPr>
  </w:style>
  <w:style w:type="paragraph" w:customStyle="1" w:styleId="Heading5Alpha">
    <w:name w:val="Heading 5 Alpha"/>
    <w:basedOn w:val="HeadingBase"/>
    <w:rsid w:val="0004685E"/>
    <w:pPr>
      <w:numPr>
        <w:numId w:val="6"/>
      </w:numPr>
      <w:tabs>
        <w:tab w:val="clear" w:pos="852"/>
        <w:tab w:val="num" w:pos="284"/>
      </w:tabs>
      <w:ind w:left="568"/>
    </w:pPr>
    <w:rPr>
      <w:b/>
    </w:rPr>
  </w:style>
  <w:style w:type="character" w:customStyle="1" w:styleId="Heading1Char">
    <w:name w:val="Heading 1 Char"/>
    <w:basedOn w:val="DefaultParagraphFont"/>
    <w:link w:val="Heading1"/>
    <w:locked/>
    <w:rsid w:val="00382254"/>
    <w:rPr>
      <w:rFonts w:ascii="Arial Bold" w:hAnsi="Arial Bold"/>
      <w:b/>
      <w:smallCaps/>
      <w:color w:val="0E406A" w:themeColor="accent1"/>
      <w:kern w:val="32"/>
      <w:sz w:val="36"/>
      <w:szCs w:val="31"/>
    </w:rPr>
  </w:style>
  <w:style w:type="character" w:customStyle="1" w:styleId="Heading2Char">
    <w:name w:val="Heading 2 Char"/>
    <w:basedOn w:val="DefaultParagraphFont"/>
    <w:link w:val="Heading2"/>
    <w:locked/>
    <w:rsid w:val="00286051"/>
    <w:rPr>
      <w:rFonts w:ascii="Arial Bold" w:hAnsi="Arial Bold"/>
      <w:b/>
      <w:color w:val="0E406A"/>
      <w:sz w:val="28"/>
    </w:rPr>
  </w:style>
  <w:style w:type="character" w:customStyle="1" w:styleId="Heading3Char1">
    <w:name w:val="Heading 3 Char1"/>
    <w:basedOn w:val="DefaultParagraphFont"/>
    <w:link w:val="Heading3"/>
    <w:locked/>
    <w:rsid w:val="00286051"/>
    <w:rPr>
      <w:rFonts w:ascii="Arial" w:hAnsi="Arial"/>
      <w:color w:val="0E406A" w:themeColor="accent1"/>
      <w:sz w:val="24"/>
    </w:rPr>
  </w:style>
  <w:style w:type="character" w:customStyle="1" w:styleId="Heading4Char">
    <w:name w:val="Heading 4 Char"/>
    <w:basedOn w:val="DefaultParagraphFont"/>
    <w:link w:val="Heading4"/>
    <w:locked/>
    <w:rsid w:val="008715D6"/>
    <w:rPr>
      <w:rFonts w:ascii="Arial Bold" w:hAnsi="Arial Bold"/>
      <w:b/>
      <w:color w:val="1F497D" w:themeColor="text2"/>
      <w:sz w:val="22"/>
      <w:szCs w:val="22"/>
    </w:rPr>
  </w:style>
  <w:style w:type="character" w:customStyle="1" w:styleId="Heading5Char">
    <w:name w:val="Heading 5 Char"/>
    <w:basedOn w:val="DefaultParagraphFont"/>
    <w:link w:val="Heading5"/>
    <w:locked/>
    <w:rsid w:val="008715D6"/>
    <w:rPr>
      <w:rFonts w:ascii="Arial Bold" w:hAnsi="Arial Bold"/>
      <w:b/>
      <w:iCs/>
      <w:color w:val="1F497D" w:themeColor="text2"/>
      <w:sz w:val="19"/>
      <w:szCs w:val="18"/>
    </w:rPr>
  </w:style>
  <w:style w:type="character" w:customStyle="1" w:styleId="Heading6Char">
    <w:name w:val="Heading 6 Char"/>
    <w:basedOn w:val="DefaultParagraphFont"/>
    <w:link w:val="Heading6"/>
    <w:locked/>
    <w:rsid w:val="00A15E0B"/>
    <w:rPr>
      <w:rFonts w:ascii="Arial" w:hAnsi="Arial"/>
      <w:i/>
      <w:color w:val="0E406A"/>
      <w:sz w:val="24"/>
      <w:szCs w:val="24"/>
    </w:rPr>
  </w:style>
  <w:style w:type="character" w:customStyle="1" w:styleId="Heading7Char">
    <w:name w:val="Heading 7 Char"/>
    <w:basedOn w:val="DefaultParagraphFont"/>
    <w:link w:val="Heading7"/>
    <w:locked/>
    <w:rsid w:val="005E14C0"/>
    <w:rPr>
      <w:rFonts w:ascii="Arial Bold" w:hAnsi="Arial Bold"/>
      <w:b/>
      <w:i/>
      <w:color w:val="82002A"/>
    </w:rPr>
  </w:style>
  <w:style w:type="character" w:customStyle="1" w:styleId="Heading8Char">
    <w:name w:val="Heading 8 Char"/>
    <w:basedOn w:val="DefaultParagraphFont"/>
    <w:link w:val="Heading8"/>
    <w:locked/>
    <w:rsid w:val="00110B9B"/>
    <w:rPr>
      <w:rFonts w:ascii="Arial Bold" w:hAnsi="Arial Bold"/>
      <w:b/>
      <w:color w:val="0E406A" w:themeColor="accent1"/>
    </w:rPr>
  </w:style>
  <w:style w:type="character" w:customStyle="1" w:styleId="Heading9Char">
    <w:name w:val="Heading 9 Char"/>
    <w:basedOn w:val="DefaultParagraphFont"/>
    <w:link w:val="Heading9"/>
    <w:locked/>
    <w:rsid w:val="005E14C0"/>
    <w:rPr>
      <w:rFonts w:ascii="Arial Bold" w:hAnsi="Arial Bold"/>
      <w:b/>
      <w:color w:val="82002A"/>
      <w:sz w:val="24"/>
    </w:rPr>
  </w:style>
  <w:style w:type="character" w:customStyle="1" w:styleId="HeaderChar">
    <w:name w:val="Header Char"/>
    <w:basedOn w:val="DefaultParagraphFont"/>
    <w:link w:val="Header"/>
    <w:locked/>
    <w:rsid w:val="00334137"/>
    <w:rPr>
      <w:rFonts w:ascii="Arial Bold" w:hAnsi="Arial Bold"/>
      <w:b/>
      <w:color w:val="1F497D" w:themeColor="text2"/>
      <w:sz w:val="16"/>
      <w:lang w:eastAsia="en-US"/>
    </w:rPr>
  </w:style>
  <w:style w:type="paragraph" w:customStyle="1" w:styleId="TableBodyText">
    <w:name w:val="Table Body Text"/>
    <w:basedOn w:val="Normal"/>
    <w:autoRedefine/>
    <w:rsid w:val="005E14C0"/>
    <w:pPr>
      <w:spacing w:before="20" w:after="20" w:line="240" w:lineRule="auto"/>
      <w:jc w:val="center"/>
    </w:pPr>
    <w:rPr>
      <w:rFonts w:ascii="Arial" w:hAnsi="Arial" w:cs="Arial"/>
      <w:sz w:val="16"/>
    </w:rPr>
  </w:style>
  <w:style w:type="character" w:customStyle="1" w:styleId="FooterChar">
    <w:name w:val="Footer Char"/>
    <w:basedOn w:val="DefaultParagraphFont"/>
    <w:link w:val="Footer"/>
    <w:locked/>
    <w:rsid w:val="00560C30"/>
    <w:rPr>
      <w:rFonts w:ascii="Arial Bold" w:hAnsi="Arial Bold"/>
      <w:b/>
      <w:color w:val="1F497D" w:themeColor="text2"/>
      <w:sz w:val="16"/>
      <w:szCs w:val="16"/>
      <w:lang w:eastAsia="en-US"/>
    </w:rPr>
  </w:style>
  <w:style w:type="paragraph" w:customStyle="1" w:styleId="HeadingLevel5">
    <w:name w:val="Heading Level 5"/>
    <w:basedOn w:val="Heading4"/>
    <w:next w:val="Normal"/>
    <w:rsid w:val="005E14C0"/>
    <w:pPr>
      <w:spacing w:before="100"/>
    </w:pPr>
    <w:rPr>
      <w:sz w:val="20"/>
    </w:rPr>
  </w:style>
  <w:style w:type="character" w:customStyle="1" w:styleId="DocumentMapChar">
    <w:name w:val="Document Map Char"/>
    <w:basedOn w:val="DefaultParagraphFont"/>
    <w:link w:val="DocumentMap"/>
    <w:semiHidden/>
    <w:locked/>
    <w:rsid w:val="005E14C0"/>
    <w:rPr>
      <w:rFonts w:ascii="Tahoma" w:hAnsi="Tahoma"/>
      <w:color w:val="000000"/>
      <w:sz w:val="21"/>
      <w:shd w:val="clear" w:color="auto" w:fill="000080"/>
      <w:lang w:eastAsia="en-US"/>
    </w:rPr>
  </w:style>
  <w:style w:type="paragraph" w:customStyle="1" w:styleId="ChartBodyText">
    <w:name w:val="Chart Body Text"/>
    <w:basedOn w:val="Normal"/>
    <w:autoRedefine/>
    <w:rsid w:val="00010AA0"/>
    <w:pPr>
      <w:spacing w:before="120" w:after="120" w:line="240" w:lineRule="auto"/>
      <w:jc w:val="center"/>
    </w:pPr>
    <w:rPr>
      <w:rFonts w:ascii="Arial" w:hAnsi="Arial"/>
      <w:b/>
      <w:color w:val="auto"/>
    </w:rPr>
  </w:style>
  <w:style w:type="character" w:customStyle="1" w:styleId="NoteHeadingChar">
    <w:name w:val="Note Heading Char"/>
    <w:basedOn w:val="DefaultParagraphFont"/>
    <w:link w:val="NoteHeading"/>
    <w:locked/>
    <w:rsid w:val="005E14C0"/>
    <w:rPr>
      <w:rFonts w:ascii="Arial Bold" w:hAnsi="Arial Bold"/>
      <w:b/>
      <w:color w:val="82002A"/>
      <w:sz w:val="24"/>
      <w:lang w:eastAsia="en-US"/>
    </w:rPr>
  </w:style>
  <w:style w:type="paragraph" w:customStyle="1" w:styleId="Tableheading">
    <w:name w:val="Table heading"/>
    <w:basedOn w:val="TableBodyText"/>
    <w:rsid w:val="005E14C0"/>
  </w:style>
  <w:style w:type="character" w:customStyle="1" w:styleId="BalloonTextChar">
    <w:name w:val="Balloon Text Char"/>
    <w:basedOn w:val="DefaultParagraphFont"/>
    <w:link w:val="BalloonText"/>
    <w:semiHidden/>
    <w:locked/>
    <w:rsid w:val="005E14C0"/>
    <w:rPr>
      <w:rFonts w:ascii="Tahoma" w:hAnsi="Tahoma" w:cs="Tahoma"/>
      <w:color w:val="000000"/>
      <w:sz w:val="16"/>
      <w:szCs w:val="16"/>
      <w:lang w:eastAsia="en-US"/>
    </w:rPr>
  </w:style>
  <w:style w:type="table" w:styleId="TableGrid">
    <w:name w:val="Table Grid"/>
    <w:basedOn w:val="TableNormal"/>
    <w:uiPriority w:val="59"/>
    <w:rsid w:val="005E14C0"/>
    <w:pPr>
      <w:numPr>
        <w:ilvl w:val="2"/>
        <w:numId w:val="19"/>
      </w:numPr>
      <w:spacing w:after="240" w:line="260" w:lineRule="exact"/>
      <w:jc w:val="both"/>
    </w:pPr>
    <w:rPr>
      <w:rFonts w:ascii="Book Antiqua" w:hAnsi="Book Antiqua"/>
    </w:rPr>
    <w:tblPr/>
    <w:tcPr>
      <w:shd w:val="clear" w:color="auto" w:fill="E6E6E6"/>
    </w:tcPr>
  </w:style>
  <w:style w:type="character" w:customStyle="1" w:styleId="CommentTextChar">
    <w:name w:val="Comment Text Char"/>
    <w:basedOn w:val="DefaultParagraphFont"/>
    <w:link w:val="CommentText"/>
    <w:semiHidden/>
    <w:locked/>
    <w:rsid w:val="005E14C0"/>
    <w:rPr>
      <w:rFonts w:ascii="Book Antiqua" w:hAnsi="Book Antiqua"/>
      <w:color w:val="000000"/>
      <w:lang w:eastAsia="en-US"/>
    </w:rPr>
  </w:style>
  <w:style w:type="paragraph" w:customStyle="1" w:styleId="TableBodyTextleft">
    <w:name w:val="Table Body Text left"/>
    <w:basedOn w:val="Normal"/>
    <w:rsid w:val="005E14C0"/>
    <w:pPr>
      <w:spacing w:before="20" w:after="20" w:line="240" w:lineRule="auto"/>
    </w:pPr>
    <w:rPr>
      <w:rFonts w:ascii="Arial" w:hAnsi="Arial"/>
      <w:sz w:val="16"/>
    </w:rPr>
  </w:style>
  <w:style w:type="character" w:customStyle="1" w:styleId="CommentSubjectChar">
    <w:name w:val="Comment Subject Char"/>
    <w:basedOn w:val="CommentTextChar"/>
    <w:link w:val="CommentSubject"/>
    <w:semiHidden/>
    <w:locked/>
    <w:rsid w:val="005E14C0"/>
    <w:rPr>
      <w:rFonts w:ascii="Book Antiqua" w:hAnsi="Book Antiqua"/>
      <w:b/>
      <w:bCs/>
      <w:color w:val="000000"/>
      <w:lang w:eastAsia="en-US"/>
    </w:rPr>
  </w:style>
  <w:style w:type="character" w:customStyle="1" w:styleId="TableColumnHeadingBaseChar">
    <w:name w:val="Table Column Heading Base Char"/>
    <w:basedOn w:val="DefaultParagraphFont"/>
    <w:link w:val="TableColumnHeadingBase"/>
    <w:locked/>
    <w:rsid w:val="005E14C0"/>
    <w:rPr>
      <w:rFonts w:ascii="Arial" w:hAnsi="Arial"/>
      <w:b/>
      <w:color w:val="000000"/>
      <w:sz w:val="16"/>
    </w:rPr>
  </w:style>
  <w:style w:type="paragraph" w:customStyle="1" w:styleId="TableBodyTextright">
    <w:name w:val="Table Body Text right"/>
    <w:basedOn w:val="TableBodyTextleft"/>
    <w:rsid w:val="005E14C0"/>
    <w:pPr>
      <w:jc w:val="right"/>
    </w:pPr>
  </w:style>
  <w:style w:type="paragraph" w:customStyle="1" w:styleId="TableBodyTextboldleft">
    <w:name w:val="Table Body Text bold left"/>
    <w:basedOn w:val="TableBodyTextleft"/>
    <w:rsid w:val="005E14C0"/>
    <w:rPr>
      <w:b/>
    </w:rPr>
  </w:style>
  <w:style w:type="paragraph" w:customStyle="1" w:styleId="TableBodyTextindented">
    <w:name w:val="Table Body Text indented"/>
    <w:basedOn w:val="TableBodyTextleft"/>
    <w:rsid w:val="005E14C0"/>
    <w:pPr>
      <w:ind w:left="284"/>
    </w:pPr>
  </w:style>
  <w:style w:type="paragraph" w:customStyle="1" w:styleId="TableBodyTextrightbold">
    <w:name w:val="Table Body Text right bold"/>
    <w:basedOn w:val="TableBodyTextright"/>
    <w:rsid w:val="005E14C0"/>
    <w:rPr>
      <w:rFonts w:ascii="Arial Bold" w:hAnsi="Arial Bold"/>
      <w:b/>
      <w:szCs w:val="16"/>
    </w:rPr>
  </w:style>
  <w:style w:type="paragraph" w:customStyle="1" w:styleId="Normal6ptafter">
    <w:name w:val="Normal 6pt after"/>
    <w:basedOn w:val="Normal"/>
    <w:rsid w:val="005E14C0"/>
    <w:pPr>
      <w:spacing w:after="120"/>
      <w:ind w:left="34"/>
      <w:jc w:val="both"/>
    </w:pPr>
  </w:style>
  <w:style w:type="paragraph" w:styleId="NormalWeb">
    <w:name w:val="Normal (Web)"/>
    <w:basedOn w:val="Normal"/>
    <w:uiPriority w:val="99"/>
    <w:rsid w:val="005E14C0"/>
    <w:pPr>
      <w:spacing w:line="298" w:lineRule="atLeast"/>
    </w:pPr>
    <w:rPr>
      <w:color w:val="auto"/>
      <w:sz w:val="24"/>
      <w:szCs w:val="24"/>
      <w:lang w:eastAsia="en-AU"/>
    </w:rPr>
  </w:style>
  <w:style w:type="paragraph" w:customStyle="1" w:styleId="Quotation">
    <w:name w:val="Quotation"/>
    <w:basedOn w:val="Normal"/>
    <w:semiHidden/>
    <w:rsid w:val="005E14C0"/>
    <w:pPr>
      <w:tabs>
        <w:tab w:val="num" w:pos="425"/>
      </w:tabs>
      <w:spacing w:after="140" w:line="260" w:lineRule="atLeast"/>
      <w:ind w:left="425"/>
    </w:pPr>
    <w:rPr>
      <w:rFonts w:ascii="Arial" w:hAnsi="Arial" w:cs="Arial"/>
      <w:color w:val="auto"/>
      <w:sz w:val="20"/>
      <w:szCs w:val="22"/>
      <w:lang w:eastAsia="en-AU"/>
    </w:rPr>
  </w:style>
  <w:style w:type="paragraph" w:customStyle="1" w:styleId="Quotation1">
    <w:name w:val="Quotation 1"/>
    <w:basedOn w:val="Normal"/>
    <w:rsid w:val="005E14C0"/>
    <w:pPr>
      <w:tabs>
        <w:tab w:val="num" w:pos="425"/>
      </w:tabs>
      <w:spacing w:after="140" w:line="260" w:lineRule="atLeast"/>
      <w:ind w:left="425"/>
    </w:pPr>
    <w:rPr>
      <w:rFonts w:ascii="Arial" w:hAnsi="Arial" w:cs="Arial"/>
      <w:color w:val="auto"/>
      <w:sz w:val="20"/>
      <w:szCs w:val="22"/>
      <w:lang w:eastAsia="en-AU"/>
    </w:rPr>
  </w:style>
  <w:style w:type="paragraph" w:customStyle="1" w:styleId="Quotation2">
    <w:name w:val="Quotation 2"/>
    <w:basedOn w:val="Normal"/>
    <w:semiHidden/>
    <w:rsid w:val="005E14C0"/>
    <w:pPr>
      <w:tabs>
        <w:tab w:val="num" w:pos="850"/>
      </w:tabs>
      <w:spacing w:after="140" w:line="260" w:lineRule="atLeast"/>
      <w:ind w:left="850"/>
    </w:pPr>
    <w:rPr>
      <w:rFonts w:ascii="Arial" w:hAnsi="Arial" w:cs="Arial"/>
      <w:color w:val="auto"/>
      <w:sz w:val="20"/>
      <w:szCs w:val="22"/>
      <w:lang w:eastAsia="en-AU"/>
    </w:rPr>
  </w:style>
  <w:style w:type="paragraph" w:customStyle="1" w:styleId="Quotation3">
    <w:name w:val="Quotation 3"/>
    <w:basedOn w:val="Normal"/>
    <w:semiHidden/>
    <w:rsid w:val="005E14C0"/>
    <w:pPr>
      <w:tabs>
        <w:tab w:val="num" w:pos="1276"/>
      </w:tabs>
      <w:spacing w:after="140" w:line="260" w:lineRule="atLeast"/>
      <w:ind w:left="1276"/>
    </w:pPr>
    <w:rPr>
      <w:rFonts w:ascii="Arial" w:hAnsi="Arial" w:cs="Arial"/>
      <w:color w:val="auto"/>
      <w:sz w:val="20"/>
      <w:szCs w:val="22"/>
      <w:lang w:eastAsia="en-AU"/>
    </w:rPr>
  </w:style>
  <w:style w:type="paragraph" w:customStyle="1" w:styleId="Quotation4">
    <w:name w:val="Quotation 4"/>
    <w:basedOn w:val="Normal"/>
    <w:semiHidden/>
    <w:rsid w:val="005E14C0"/>
    <w:pPr>
      <w:tabs>
        <w:tab w:val="num" w:pos="1701"/>
      </w:tabs>
      <w:spacing w:after="140" w:line="260" w:lineRule="atLeast"/>
      <w:ind w:left="1701"/>
    </w:pPr>
    <w:rPr>
      <w:rFonts w:ascii="Arial" w:hAnsi="Arial" w:cs="Arial"/>
      <w:color w:val="auto"/>
      <w:sz w:val="20"/>
      <w:szCs w:val="22"/>
      <w:lang w:eastAsia="en-AU"/>
    </w:rPr>
  </w:style>
  <w:style w:type="paragraph" w:customStyle="1" w:styleId="Quotation5">
    <w:name w:val="Quotation 5"/>
    <w:basedOn w:val="Normal"/>
    <w:semiHidden/>
    <w:rsid w:val="005E14C0"/>
    <w:pPr>
      <w:tabs>
        <w:tab w:val="num" w:pos="2126"/>
      </w:tabs>
      <w:spacing w:after="140" w:line="260" w:lineRule="atLeast"/>
      <w:ind w:left="2126"/>
    </w:pPr>
    <w:rPr>
      <w:rFonts w:ascii="Arial" w:hAnsi="Arial" w:cs="Arial"/>
      <w:color w:val="auto"/>
      <w:sz w:val="20"/>
      <w:szCs w:val="22"/>
      <w:lang w:eastAsia="en-AU"/>
    </w:rPr>
  </w:style>
  <w:style w:type="paragraph" w:customStyle="1" w:styleId="Quotation6">
    <w:name w:val="Quotation 6"/>
    <w:basedOn w:val="Normal"/>
    <w:semiHidden/>
    <w:rsid w:val="005E14C0"/>
    <w:pPr>
      <w:tabs>
        <w:tab w:val="num" w:pos="2551"/>
      </w:tabs>
      <w:spacing w:after="140" w:line="260" w:lineRule="atLeast"/>
      <w:ind w:left="2551"/>
    </w:pPr>
    <w:rPr>
      <w:rFonts w:ascii="Arial" w:hAnsi="Arial" w:cs="Arial"/>
      <w:color w:val="auto"/>
      <w:sz w:val="20"/>
      <w:szCs w:val="22"/>
      <w:lang w:eastAsia="en-AU"/>
    </w:rPr>
  </w:style>
  <w:style w:type="paragraph" w:customStyle="1" w:styleId="Quotation7">
    <w:name w:val="Quotation 7"/>
    <w:basedOn w:val="Normal"/>
    <w:semiHidden/>
    <w:rsid w:val="005E14C0"/>
    <w:pPr>
      <w:tabs>
        <w:tab w:val="num" w:pos="2976"/>
      </w:tabs>
      <w:spacing w:after="140" w:line="260" w:lineRule="atLeast"/>
      <w:ind w:left="2976"/>
    </w:pPr>
    <w:rPr>
      <w:rFonts w:ascii="Arial" w:hAnsi="Arial" w:cs="Arial"/>
      <w:color w:val="auto"/>
      <w:sz w:val="20"/>
      <w:szCs w:val="22"/>
      <w:lang w:eastAsia="en-AU"/>
    </w:rPr>
  </w:style>
  <w:style w:type="paragraph" w:customStyle="1" w:styleId="Quotation8">
    <w:name w:val="Quotation 8"/>
    <w:basedOn w:val="Normal"/>
    <w:semiHidden/>
    <w:rsid w:val="005E14C0"/>
    <w:pPr>
      <w:tabs>
        <w:tab w:val="num" w:pos="3402"/>
      </w:tabs>
      <w:spacing w:after="140" w:line="260" w:lineRule="atLeast"/>
      <w:ind w:left="3402"/>
    </w:pPr>
    <w:rPr>
      <w:rFonts w:ascii="Arial" w:hAnsi="Arial" w:cs="Arial"/>
      <w:color w:val="auto"/>
      <w:sz w:val="20"/>
      <w:szCs w:val="22"/>
      <w:lang w:eastAsia="en-AU"/>
    </w:rPr>
  </w:style>
  <w:style w:type="paragraph" w:customStyle="1" w:styleId="NumberLevel2">
    <w:name w:val="Number Level 2"/>
    <w:basedOn w:val="Normal"/>
    <w:rsid w:val="005E14C0"/>
    <w:pPr>
      <w:tabs>
        <w:tab w:val="num" w:pos="0"/>
      </w:tabs>
      <w:spacing w:before="140" w:after="140" w:line="280" w:lineRule="atLeast"/>
      <w:ind w:hanging="709"/>
    </w:pPr>
    <w:rPr>
      <w:rFonts w:ascii="Arial" w:hAnsi="Arial" w:cs="Arial"/>
      <w:color w:val="auto"/>
      <w:szCs w:val="22"/>
      <w:lang w:eastAsia="en-AU"/>
    </w:rPr>
  </w:style>
  <w:style w:type="paragraph" w:customStyle="1" w:styleId="NumberLevel3">
    <w:name w:val="Number Level 3"/>
    <w:basedOn w:val="Normal"/>
    <w:rsid w:val="005E14C0"/>
    <w:pPr>
      <w:tabs>
        <w:tab w:val="num" w:pos="0"/>
      </w:tabs>
      <w:spacing w:before="140" w:after="140" w:line="280" w:lineRule="atLeast"/>
      <w:ind w:hanging="709"/>
    </w:pPr>
    <w:rPr>
      <w:rFonts w:ascii="Arial" w:hAnsi="Arial" w:cs="Arial"/>
      <w:color w:val="auto"/>
      <w:szCs w:val="22"/>
      <w:lang w:eastAsia="en-AU"/>
    </w:rPr>
  </w:style>
  <w:style w:type="paragraph" w:customStyle="1" w:styleId="NumberLevel4">
    <w:name w:val="Number Level 4"/>
    <w:basedOn w:val="Normal"/>
    <w:rsid w:val="005E14C0"/>
    <w:pPr>
      <w:tabs>
        <w:tab w:val="num" w:pos="425"/>
      </w:tabs>
      <w:spacing w:after="140" w:line="280" w:lineRule="atLeast"/>
      <w:ind w:left="425" w:hanging="425"/>
    </w:pPr>
    <w:rPr>
      <w:rFonts w:ascii="Arial" w:hAnsi="Arial" w:cs="Arial"/>
      <w:color w:val="auto"/>
      <w:szCs w:val="22"/>
      <w:lang w:eastAsia="en-AU"/>
    </w:rPr>
  </w:style>
  <w:style w:type="paragraph" w:customStyle="1" w:styleId="NumberLevel5">
    <w:name w:val="Number Level 5"/>
    <w:basedOn w:val="Normal"/>
    <w:semiHidden/>
    <w:rsid w:val="005E14C0"/>
    <w:pPr>
      <w:tabs>
        <w:tab w:val="num" w:pos="850"/>
      </w:tabs>
      <w:spacing w:after="140" w:line="280" w:lineRule="atLeast"/>
      <w:ind w:left="850" w:hanging="425"/>
    </w:pPr>
    <w:rPr>
      <w:rFonts w:ascii="Arial" w:hAnsi="Arial" w:cs="Arial"/>
      <w:color w:val="auto"/>
      <w:szCs w:val="22"/>
      <w:lang w:eastAsia="en-AU"/>
    </w:rPr>
  </w:style>
  <w:style w:type="paragraph" w:customStyle="1" w:styleId="NumberLevel6">
    <w:name w:val="Number Level 6"/>
    <w:basedOn w:val="NumberLevel5"/>
    <w:semiHidden/>
    <w:rsid w:val="005E14C0"/>
    <w:pPr>
      <w:numPr>
        <w:ilvl w:val="5"/>
      </w:numPr>
      <w:tabs>
        <w:tab w:val="num" w:pos="850"/>
      </w:tabs>
      <w:ind w:left="850" w:hanging="425"/>
    </w:pPr>
  </w:style>
  <w:style w:type="paragraph" w:customStyle="1" w:styleId="NumberLevel7">
    <w:name w:val="Number Level 7"/>
    <w:basedOn w:val="NumberLevel6"/>
    <w:semiHidden/>
    <w:rsid w:val="005E14C0"/>
    <w:pPr>
      <w:numPr>
        <w:ilvl w:val="6"/>
      </w:numPr>
      <w:tabs>
        <w:tab w:val="num" w:pos="850"/>
      </w:tabs>
      <w:ind w:left="850" w:hanging="425"/>
    </w:pPr>
  </w:style>
  <w:style w:type="paragraph" w:customStyle="1" w:styleId="NumberLevel8">
    <w:name w:val="Number Level 8"/>
    <w:basedOn w:val="NumberLevel7"/>
    <w:semiHidden/>
    <w:rsid w:val="005E14C0"/>
    <w:pPr>
      <w:numPr>
        <w:ilvl w:val="7"/>
      </w:numPr>
      <w:tabs>
        <w:tab w:val="num" w:pos="850"/>
      </w:tabs>
      <w:ind w:left="850" w:hanging="425"/>
    </w:pPr>
  </w:style>
  <w:style w:type="paragraph" w:customStyle="1" w:styleId="NumberLevel9">
    <w:name w:val="Number Level 9"/>
    <w:basedOn w:val="NumberLevel8"/>
    <w:semiHidden/>
    <w:rsid w:val="005E14C0"/>
    <w:pPr>
      <w:numPr>
        <w:ilvl w:val="8"/>
      </w:numPr>
      <w:tabs>
        <w:tab w:val="num" w:pos="850"/>
      </w:tabs>
      <w:ind w:left="850" w:hanging="425"/>
    </w:pPr>
  </w:style>
  <w:style w:type="character" w:styleId="Strong">
    <w:name w:val="Strong"/>
    <w:basedOn w:val="DefaultParagraphFont"/>
    <w:uiPriority w:val="22"/>
    <w:qFormat/>
    <w:rsid w:val="005F4C50"/>
    <w:rPr>
      <w:rFonts w:ascii="Arial" w:eastAsia="Batang" w:hAnsi="Arial" w:cs="Times New Roman"/>
      <w:b/>
      <w:bCs/>
      <w:color w:val="0E406A" w:themeColor="accent1"/>
      <w:sz w:val="20"/>
      <w:lang w:val="en-GB" w:eastAsia="en-US" w:bidi="ar-SA"/>
    </w:rPr>
  </w:style>
  <w:style w:type="character" w:customStyle="1" w:styleId="FootnoteTextChar">
    <w:name w:val="Footnote Text Char"/>
    <w:basedOn w:val="DefaultParagraphFont"/>
    <w:link w:val="FootnoteText"/>
    <w:uiPriority w:val="99"/>
    <w:locked/>
    <w:rsid w:val="008E679A"/>
    <w:rPr>
      <w:rFonts w:ascii="Garamond" w:hAnsi="Garamond"/>
      <w:kern w:val="16"/>
      <w:sz w:val="19"/>
      <w:lang w:eastAsia="en-US"/>
    </w:rPr>
  </w:style>
  <w:style w:type="character" w:customStyle="1" w:styleId="TableColumnHeadingLeftChar">
    <w:name w:val="Table Column Heading Left Char"/>
    <w:basedOn w:val="TableColumnHeadingBaseChar"/>
    <w:link w:val="TableColumnHeadingLeft"/>
    <w:locked/>
    <w:rsid w:val="00B45A6D"/>
    <w:rPr>
      <w:rFonts w:ascii="Arial Bold" w:hAnsi="Arial Bold"/>
      <w:b/>
      <w:color w:val="000000"/>
      <w:kern w:val="16"/>
      <w:sz w:val="18"/>
      <w:lang w:eastAsia="en-US"/>
    </w:rPr>
  </w:style>
  <w:style w:type="character" w:customStyle="1" w:styleId="BodyTextChar">
    <w:name w:val="Body Text Char"/>
    <w:basedOn w:val="DefaultParagraphFont"/>
    <w:link w:val="BodyText"/>
    <w:rsid w:val="005E14C0"/>
    <w:rPr>
      <w:rFonts w:ascii="GillSans" w:hAnsi="GillSans"/>
      <w:b/>
      <w:snapToGrid w:val="0"/>
      <w:color w:val="000000"/>
      <w:sz w:val="23"/>
      <w:lang w:eastAsia="en-US"/>
    </w:rPr>
  </w:style>
  <w:style w:type="character" w:customStyle="1" w:styleId="BodyText2Char">
    <w:name w:val="Body Text 2 Char"/>
    <w:basedOn w:val="DefaultParagraphFont"/>
    <w:link w:val="BodyText2"/>
    <w:rsid w:val="005E14C0"/>
    <w:rPr>
      <w:rFonts w:ascii="Book Antiqua" w:hAnsi="Book Antiqua"/>
      <w:color w:val="000000"/>
      <w:sz w:val="21"/>
      <w:lang w:eastAsia="en-US"/>
    </w:rPr>
  </w:style>
  <w:style w:type="character" w:customStyle="1" w:styleId="BodyTextIndentChar">
    <w:name w:val="Body Text Indent Char"/>
    <w:basedOn w:val="DefaultParagraphFont"/>
    <w:link w:val="BodyTextIndent"/>
    <w:rsid w:val="005E14C0"/>
    <w:rPr>
      <w:rFonts w:ascii="Book Antiqua" w:hAnsi="Book Antiqua"/>
      <w:color w:val="000000"/>
      <w:sz w:val="15"/>
      <w:lang w:eastAsia="en-US"/>
    </w:rPr>
  </w:style>
  <w:style w:type="character" w:customStyle="1" w:styleId="BodyTextIndent2Char">
    <w:name w:val="Body Text Indent 2 Char"/>
    <w:basedOn w:val="DefaultParagraphFont"/>
    <w:link w:val="BodyTextIndent2"/>
    <w:rsid w:val="005E14C0"/>
    <w:rPr>
      <w:rFonts w:ascii="Book Antiqua" w:hAnsi="Book Antiqua"/>
      <w:color w:val="000000"/>
      <w:sz w:val="21"/>
      <w:lang w:eastAsia="en-US"/>
    </w:rPr>
  </w:style>
  <w:style w:type="character" w:customStyle="1" w:styleId="BodyTextIndent3Char">
    <w:name w:val="Body Text Indent 3 Char"/>
    <w:basedOn w:val="DefaultParagraphFont"/>
    <w:link w:val="BodyTextIndent3"/>
    <w:rsid w:val="005E14C0"/>
    <w:rPr>
      <w:rFonts w:ascii="Book Antiqua" w:hAnsi="Book Antiqua"/>
      <w:color w:val="000000"/>
      <w:sz w:val="21"/>
      <w:lang w:eastAsia="en-US"/>
    </w:rPr>
  </w:style>
  <w:style w:type="character" w:customStyle="1" w:styleId="h1">
    <w:name w:val="h1"/>
    <w:basedOn w:val="DefaultParagraphFont"/>
    <w:rsid w:val="00592143"/>
  </w:style>
  <w:style w:type="character" w:customStyle="1" w:styleId="Heading3Char">
    <w:name w:val="Heading 3 Char"/>
    <w:basedOn w:val="DefaultParagraphFont"/>
    <w:rsid w:val="00B85668"/>
    <w:rPr>
      <w:rFonts w:ascii="Book Antiqua" w:hAnsi="Book Antiqua"/>
      <w:b/>
      <w:sz w:val="24"/>
      <w:lang w:val="en-US" w:eastAsia="en-US" w:bidi="ar-SA"/>
    </w:rPr>
  </w:style>
  <w:style w:type="paragraph" w:customStyle="1" w:styleId="Photographic">
    <w:name w:val="Photo graphic"/>
    <w:basedOn w:val="ChartGraphic"/>
    <w:next w:val="Normal"/>
    <w:qFormat/>
    <w:rsid w:val="001612B5"/>
    <w:pPr>
      <w:jc w:val="both"/>
    </w:pPr>
    <w:rPr>
      <w:snapToGrid w:val="0"/>
    </w:rPr>
  </w:style>
  <w:style w:type="character" w:customStyle="1" w:styleId="BulletChar">
    <w:name w:val="Bullet Char"/>
    <w:basedOn w:val="DefaultParagraphFont"/>
    <w:link w:val="Bullet"/>
    <w:locked/>
    <w:rsid w:val="0056135E"/>
    <w:rPr>
      <w:rFonts w:ascii="Garamond" w:hAnsi="Garamond"/>
      <w:color w:val="000000"/>
      <w:sz w:val="22"/>
      <w:lang w:eastAsia="en-US"/>
    </w:rPr>
  </w:style>
  <w:style w:type="character" w:customStyle="1" w:styleId="s6">
    <w:name w:val="s6"/>
    <w:basedOn w:val="DefaultParagraphFont"/>
    <w:rsid w:val="00CA77C5"/>
  </w:style>
  <w:style w:type="paragraph" w:styleId="BodyTextFirstIndent">
    <w:name w:val="Body Text First Indent"/>
    <w:basedOn w:val="BodyText"/>
    <w:link w:val="BodyTextFirstIndentChar"/>
    <w:rsid w:val="00ED4DC3"/>
    <w:pPr>
      <w:ind w:firstLine="360"/>
    </w:pPr>
    <w:rPr>
      <w:rFonts w:ascii="Book Antiqua" w:hAnsi="Book Antiqua"/>
      <w:b w:val="0"/>
      <w:snapToGrid/>
      <w:sz w:val="21"/>
    </w:rPr>
  </w:style>
  <w:style w:type="character" w:customStyle="1" w:styleId="BodyTextFirstIndentChar">
    <w:name w:val="Body Text First Indent Char"/>
    <w:basedOn w:val="BodyTextChar"/>
    <w:link w:val="BodyTextFirstIndent"/>
    <w:rsid w:val="00ED4DC3"/>
    <w:rPr>
      <w:rFonts w:ascii="Book Antiqua" w:hAnsi="Book Antiqua"/>
      <w:b/>
      <w:snapToGrid w:val="0"/>
      <w:color w:val="000000"/>
      <w:sz w:val="21"/>
      <w:lang w:eastAsia="en-US"/>
    </w:rPr>
  </w:style>
  <w:style w:type="paragraph" w:styleId="BodyTextFirstIndent2">
    <w:name w:val="Body Text First Indent 2"/>
    <w:basedOn w:val="BodyTextIndent"/>
    <w:link w:val="BodyTextFirstIndent2Char"/>
    <w:rsid w:val="00ED4DC3"/>
    <w:pPr>
      <w:spacing w:line="280" w:lineRule="exact"/>
      <w:ind w:left="360" w:firstLine="360"/>
    </w:pPr>
    <w:rPr>
      <w:sz w:val="21"/>
    </w:rPr>
  </w:style>
  <w:style w:type="character" w:customStyle="1" w:styleId="BodyTextFirstIndent2Char">
    <w:name w:val="Body Text First Indent 2 Char"/>
    <w:basedOn w:val="BodyTextIndentChar"/>
    <w:link w:val="BodyTextFirstIndent2"/>
    <w:rsid w:val="00ED4DC3"/>
    <w:rPr>
      <w:rFonts w:ascii="Book Antiqua" w:hAnsi="Book Antiqua"/>
      <w:color w:val="000000"/>
      <w:sz w:val="21"/>
      <w:lang w:eastAsia="en-US"/>
    </w:rPr>
  </w:style>
  <w:style w:type="paragraph" w:styleId="EndnoteText">
    <w:name w:val="endnote text"/>
    <w:basedOn w:val="Normal"/>
    <w:link w:val="EndnoteTextChar"/>
    <w:rsid w:val="00AE7C57"/>
    <w:pPr>
      <w:spacing w:after="120" w:line="360" w:lineRule="auto"/>
    </w:pPr>
    <w:rPr>
      <w:rFonts w:eastAsia="Calibri" w:cs="Arial"/>
      <w:color w:val="auto"/>
      <w:sz w:val="20"/>
    </w:rPr>
  </w:style>
  <w:style w:type="character" w:customStyle="1" w:styleId="EndnoteTextChar">
    <w:name w:val="Endnote Text Char"/>
    <w:basedOn w:val="DefaultParagraphFont"/>
    <w:link w:val="EndnoteText"/>
    <w:rsid w:val="00AE7C57"/>
    <w:rPr>
      <w:rFonts w:ascii="Garamond" w:eastAsia="Calibri" w:hAnsi="Garamond" w:cs="Arial"/>
      <w:lang w:eastAsia="en-US"/>
    </w:rPr>
  </w:style>
  <w:style w:type="table" w:styleId="TableClassic3">
    <w:name w:val="Table Classic 3"/>
    <w:basedOn w:val="TableNormal"/>
    <w:rsid w:val="000D6BE1"/>
    <w:pPr>
      <w:spacing w:after="240"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0D6BE1"/>
    <w:pPr>
      <w:spacing w:after="240"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qFormat/>
    <w:rsid w:val="0025768A"/>
    <w:pPr>
      <w:pBdr>
        <w:bottom w:val="single" w:sz="4" w:space="4" w:color="0E406A" w:themeColor="accent1"/>
      </w:pBdr>
      <w:spacing w:before="200" w:after="280"/>
      <w:ind w:left="936" w:right="936"/>
    </w:pPr>
    <w:rPr>
      <w:b/>
      <w:bCs/>
      <w:i/>
      <w:iCs/>
      <w:color w:val="0E406A" w:themeColor="accent1"/>
    </w:rPr>
  </w:style>
  <w:style w:type="character" w:customStyle="1" w:styleId="IntenseQuoteChar">
    <w:name w:val="Intense Quote Char"/>
    <w:basedOn w:val="DefaultParagraphFont"/>
    <w:link w:val="IntenseQuote"/>
    <w:uiPriority w:val="30"/>
    <w:rsid w:val="0025768A"/>
    <w:rPr>
      <w:rFonts w:ascii="Garamond" w:hAnsi="Garamond"/>
      <w:b/>
      <w:bCs/>
      <w:i/>
      <w:iCs/>
      <w:color w:val="0E406A" w:themeColor="accent1"/>
      <w:sz w:val="22"/>
      <w:lang w:eastAsia="en-US"/>
    </w:rPr>
  </w:style>
  <w:style w:type="table" w:styleId="MediumShading2-Accent5">
    <w:name w:val="Medium Shading 2 Accent 5"/>
    <w:basedOn w:val="TableNormal"/>
    <w:uiPriority w:val="64"/>
    <w:rsid w:val="00B352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90220"/>
    <w:tblPr>
      <w:tblStyleRowBandSize w:val="1"/>
      <w:tblStyleColBandSize w:val="1"/>
      <w:tblBorders>
        <w:top w:val="single" w:sz="8" w:space="0" w:color="1973C0" w:themeColor="accent1" w:themeTint="BF"/>
        <w:left w:val="single" w:sz="8" w:space="0" w:color="1973C0" w:themeColor="accent1" w:themeTint="BF"/>
        <w:bottom w:val="single" w:sz="8" w:space="0" w:color="1973C0" w:themeColor="accent1" w:themeTint="BF"/>
        <w:right w:val="single" w:sz="8" w:space="0" w:color="1973C0" w:themeColor="accent1" w:themeTint="BF"/>
        <w:insideH w:val="single" w:sz="8" w:space="0" w:color="1973C0" w:themeColor="accent1" w:themeTint="BF"/>
      </w:tblBorders>
    </w:tblPr>
    <w:tblStylePr w:type="firstRow">
      <w:pPr>
        <w:spacing w:before="0" w:after="0" w:line="240" w:lineRule="auto"/>
      </w:pPr>
      <w:rPr>
        <w:b/>
        <w:bCs/>
        <w:color w:val="FFFFFF" w:themeColor="background1"/>
      </w:rPr>
      <w:tblPr/>
      <w:tcPr>
        <w:tcBorders>
          <w:top w:val="single" w:sz="8" w:space="0" w:color="1973C0" w:themeColor="accent1" w:themeTint="BF"/>
          <w:left w:val="single" w:sz="8" w:space="0" w:color="1973C0" w:themeColor="accent1" w:themeTint="BF"/>
          <w:bottom w:val="single" w:sz="8" w:space="0" w:color="1973C0" w:themeColor="accent1" w:themeTint="BF"/>
          <w:right w:val="single" w:sz="8" w:space="0" w:color="1973C0" w:themeColor="accent1" w:themeTint="BF"/>
          <w:insideH w:val="nil"/>
          <w:insideV w:val="nil"/>
        </w:tcBorders>
        <w:shd w:val="clear" w:color="auto" w:fill="0E406A" w:themeFill="accent1"/>
      </w:tcPr>
    </w:tblStylePr>
    <w:tblStylePr w:type="lastRow">
      <w:pPr>
        <w:spacing w:before="0" w:after="0" w:line="240" w:lineRule="auto"/>
      </w:pPr>
      <w:rPr>
        <w:b/>
        <w:bCs/>
      </w:rPr>
      <w:tblPr/>
      <w:tcPr>
        <w:tcBorders>
          <w:top w:val="double" w:sz="6" w:space="0" w:color="1973C0" w:themeColor="accent1" w:themeTint="BF"/>
          <w:left w:val="single" w:sz="8" w:space="0" w:color="1973C0" w:themeColor="accent1" w:themeTint="BF"/>
          <w:bottom w:val="single" w:sz="8" w:space="0" w:color="1973C0" w:themeColor="accent1" w:themeTint="BF"/>
          <w:right w:val="single" w:sz="8" w:space="0" w:color="1973C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1F3" w:themeFill="accent1" w:themeFillTint="3F"/>
      </w:tcPr>
    </w:tblStylePr>
    <w:tblStylePr w:type="band1Horz">
      <w:tblPr/>
      <w:tcPr>
        <w:tcBorders>
          <w:insideH w:val="nil"/>
          <w:insideV w:val="nil"/>
        </w:tcBorders>
        <w:shd w:val="clear" w:color="auto" w:fill="A9D1F3"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D902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6272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8853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40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406A" w:themeFill="accent1"/>
      </w:tcPr>
    </w:tblStylePr>
    <w:tblStylePr w:type="lastCol">
      <w:rPr>
        <w:b/>
        <w:bCs/>
        <w:color w:val="FFFFFF" w:themeColor="background1"/>
      </w:rPr>
      <w:tblPr/>
      <w:tcPr>
        <w:tcBorders>
          <w:left w:val="nil"/>
          <w:right w:val="nil"/>
          <w:insideH w:val="nil"/>
          <w:insideV w:val="nil"/>
        </w:tcBorders>
        <w:shd w:val="clear" w:color="auto" w:fill="0E40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nel">
    <w:name w:val="Panel"/>
    <w:basedOn w:val="Heading1"/>
    <w:link w:val="PanelChar"/>
    <w:qFormat/>
    <w:rsid w:val="00C21DF5"/>
    <w:pPr>
      <w:jc w:val="center"/>
    </w:pPr>
    <w:rPr>
      <w:rFonts w:eastAsia="Batang"/>
      <w:sz w:val="66"/>
      <w:szCs w:val="66"/>
    </w:rPr>
  </w:style>
  <w:style w:type="paragraph" w:styleId="ListParagraph">
    <w:name w:val="List Paragraph"/>
    <w:basedOn w:val="Normal"/>
    <w:uiPriority w:val="34"/>
    <w:qFormat/>
    <w:rsid w:val="00334137"/>
    <w:pPr>
      <w:ind w:left="720"/>
      <w:contextualSpacing/>
    </w:pPr>
  </w:style>
  <w:style w:type="character" w:customStyle="1" w:styleId="PanelChar">
    <w:name w:val="Panel Char"/>
    <w:basedOn w:val="Heading1Char"/>
    <w:link w:val="Panel"/>
    <w:rsid w:val="00C21DF5"/>
    <w:rPr>
      <w:rFonts w:ascii="Arial Bold" w:eastAsia="Batang" w:hAnsi="Arial Bold"/>
      <w:b/>
      <w:smallCaps/>
      <w:color w:val="1F497D" w:themeColor="text2"/>
      <w:kern w:val="32"/>
      <w:sz w:val="66"/>
      <w:szCs w:val="66"/>
    </w:rPr>
  </w:style>
  <w:style w:type="paragraph" w:customStyle="1" w:styleId="Heading2NoTOC">
    <w:name w:val="Heading 2 No TOC"/>
    <w:basedOn w:val="Heading2"/>
    <w:rsid w:val="00570EDF"/>
    <w:rPr>
      <w:sz w:val="30"/>
    </w:rPr>
  </w:style>
  <w:style w:type="paragraph" w:styleId="Revision">
    <w:name w:val="Revision"/>
    <w:hidden/>
    <w:uiPriority w:val="99"/>
    <w:semiHidden/>
    <w:rsid w:val="006A355E"/>
    <w:rPr>
      <w:rFonts w:ascii="Garamond" w:hAnsi="Garamond"/>
      <w:color w:val="000000"/>
      <w:sz w:val="22"/>
      <w:lang w:eastAsia="en-US"/>
    </w:rPr>
  </w:style>
  <w:style w:type="paragraph" w:customStyle="1" w:styleId="PanelTitle">
    <w:name w:val="Panel Title"/>
    <w:basedOn w:val="Normal"/>
    <w:rsid w:val="002420E5"/>
    <w:pPr>
      <w:spacing w:after="0" w:line="240" w:lineRule="auto"/>
    </w:pPr>
    <w:rPr>
      <w:sz w:val="28"/>
      <w:szCs w:val="28"/>
    </w:rPr>
  </w:style>
  <w:style w:type="paragraph" w:customStyle="1" w:styleId="PanelText">
    <w:name w:val="Panel Text"/>
    <w:basedOn w:val="PanelTitle"/>
    <w:rsid w:val="002420E5"/>
    <w:rPr>
      <w:sz w:val="22"/>
      <w:szCs w:val="22"/>
    </w:rPr>
  </w:style>
  <w:style w:type="paragraph" w:customStyle="1" w:styleId="PanelNumber">
    <w:name w:val="Panel Number"/>
    <w:basedOn w:val="Normal"/>
    <w:rsid w:val="002420E5"/>
    <w:pPr>
      <w:spacing w:after="0" w:line="240" w:lineRule="auto"/>
      <w:jc w:val="center"/>
    </w:pPr>
    <w:rPr>
      <w:sz w:val="40"/>
      <w:szCs w:val="40"/>
    </w:rPr>
  </w:style>
  <w:style w:type="paragraph" w:customStyle="1" w:styleId="PanelNote">
    <w:name w:val="Panel Note"/>
    <w:basedOn w:val="Normal"/>
    <w:rsid w:val="002420E5"/>
    <w:pPr>
      <w:spacing w:after="0" w:line="240" w:lineRule="auto"/>
    </w:pPr>
    <w:rPr>
      <w:sz w:val="20"/>
    </w:rPr>
  </w:style>
  <w:style w:type="paragraph" w:customStyle="1" w:styleId="Heading5-Indented">
    <w:name w:val="Heading 5 - Indented"/>
    <w:basedOn w:val="Heading5"/>
    <w:rsid w:val="00110B9B"/>
    <w:rPr>
      <w:i/>
      <w:iCs w:val="0"/>
      <w:sz w:val="20"/>
    </w:rPr>
  </w:style>
  <w:style w:type="paragraph" w:customStyle="1" w:styleId="SingleParagraph-Double">
    <w:name w:val="Single Paragraph - Double"/>
    <w:basedOn w:val="SingleParagraph"/>
    <w:rsid w:val="005032BD"/>
    <w:pPr>
      <w:spacing w:before="180" w:after="180"/>
    </w:pPr>
  </w:style>
  <w:style w:type="paragraph" w:customStyle="1" w:styleId="TableTextRight-Appendix">
    <w:name w:val="Table Text Right - Appendix"/>
    <w:basedOn w:val="TableTextRight"/>
    <w:rsid w:val="00B5022B"/>
    <w:pPr>
      <w:spacing w:before="60" w:after="60"/>
    </w:pPr>
    <w:rPr>
      <w:snapToGrid w:val="0"/>
    </w:rPr>
  </w:style>
  <w:style w:type="paragraph" w:customStyle="1" w:styleId="TableTextLeft-Appendix">
    <w:name w:val="Table Text Left - Appendix"/>
    <w:basedOn w:val="Normal"/>
    <w:rsid w:val="009F78DC"/>
    <w:rPr>
      <w:rFonts w:ascii="Arial" w:hAnsi="Arial" w:cs="Arial"/>
      <w:sz w:val="20"/>
    </w:rPr>
  </w:style>
  <w:style w:type="paragraph" w:customStyle="1" w:styleId="TableColumnHeadingRight-Appendix">
    <w:name w:val="Table Column Heading Right - Appendix"/>
    <w:basedOn w:val="TableColumnHeadingRight"/>
    <w:rsid w:val="00751459"/>
    <w:pPr>
      <w:spacing w:before="60" w:after="60"/>
    </w:pPr>
    <w:rPr>
      <w:rFonts w:eastAsia="Batang"/>
      <w:lang w:val="en-GB"/>
    </w:rPr>
  </w:style>
  <w:style w:type="paragraph" w:customStyle="1" w:styleId="TableColumnHeadingLeft-Appendix">
    <w:name w:val="Table Column Heading Left - Appendix"/>
    <w:basedOn w:val="TableColumnHeadingLeft"/>
    <w:rsid w:val="004C3683"/>
    <w:pPr>
      <w:spacing w:before="60" w:after="60"/>
    </w:pPr>
    <w:rPr>
      <w:rFonts w:ascii="Arial" w:eastAsia="Batang" w:hAnsi="Arial"/>
      <w:b w:val="0"/>
      <w:sz w:val="20"/>
    </w:rPr>
  </w:style>
  <w:style w:type="paragraph" w:customStyle="1" w:styleId="TableRowHeadingLeft">
    <w:name w:val="Table Row Heading Left"/>
    <w:basedOn w:val="TableColumnHeadingLeft"/>
    <w:rsid w:val="00451192"/>
    <w:rPr>
      <w:bCs/>
    </w:rPr>
  </w:style>
  <w:style w:type="paragraph" w:customStyle="1" w:styleId="TableTextLeft-Arial">
    <w:name w:val="Table Text Left - Arial"/>
    <w:basedOn w:val="TableTextLeft-Appendix"/>
    <w:rsid w:val="00B45A6D"/>
    <w:pPr>
      <w:spacing w:before="60" w:after="60" w:line="240" w:lineRule="auto"/>
    </w:pPr>
    <w:rPr>
      <w:sz w:val="18"/>
    </w:rPr>
  </w:style>
  <w:style w:type="paragraph" w:customStyle="1" w:styleId="TableTextRight-Arial">
    <w:name w:val="Table Text Right - Arial"/>
    <w:basedOn w:val="TableColumnHeadingRight"/>
    <w:rsid w:val="004F7091"/>
    <w:pPr>
      <w:spacing w:before="60" w:after="60"/>
    </w:pPr>
    <w:rPr>
      <w:rFonts w:ascii="Arial" w:hAnsi="Arial"/>
      <w:szCs w:val="22"/>
    </w:rPr>
  </w:style>
  <w:style w:type="paragraph" w:customStyle="1" w:styleId="TableTextRight-ArialBold">
    <w:name w:val="Table Text Right - Arial (Bold)"/>
    <w:basedOn w:val="TableTextRight-Arial"/>
    <w:rsid w:val="00156919"/>
    <w:rPr>
      <w:b/>
    </w:rPr>
  </w:style>
  <w:style w:type="paragraph" w:customStyle="1" w:styleId="TableColumnHeadingRight-ArialBold">
    <w:name w:val="Table Column Heading Right - Arial (Bold)"/>
    <w:basedOn w:val="TableColumnHeadingRight-Appendix"/>
    <w:rsid w:val="00210034"/>
  </w:style>
  <w:style w:type="paragraph" w:customStyle="1" w:styleId="TableTextLeft-ArialIndented">
    <w:name w:val="Table Text Left - Arial (Indented)"/>
    <w:basedOn w:val="TableTextIndented"/>
    <w:rsid w:val="00156919"/>
    <w:pPr>
      <w:spacing w:before="60" w:after="60"/>
    </w:pPr>
  </w:style>
  <w:style w:type="paragraph" w:customStyle="1" w:styleId="TableTextLeft-ArialBold">
    <w:name w:val="Table Text Left - Arial (Bold)"/>
    <w:basedOn w:val="TableTextLeft-Arial"/>
    <w:rsid w:val="00156919"/>
    <w:rPr>
      <w:b/>
      <w:sz w:val="16"/>
    </w:rPr>
  </w:style>
  <w:style w:type="paragraph" w:customStyle="1" w:styleId="TableColumnHeadingLeft-Index">
    <w:name w:val="Table Column Heading Left - Index"/>
    <w:basedOn w:val="TableColumnHeadingLeft"/>
    <w:rsid w:val="00A15E0B"/>
    <w:pPr>
      <w:spacing w:before="0"/>
    </w:pPr>
    <w:rPr>
      <w:rFonts w:ascii="Arial" w:hAnsi="Arial" w:cs="Arial"/>
      <w:b w:val="0"/>
      <w:i/>
      <w:color w:val="0E406A" w:themeColor="accent1"/>
    </w:rPr>
  </w:style>
  <w:style w:type="paragraph" w:customStyle="1" w:styleId="TableColumnHeadingCentred-ArialBold">
    <w:name w:val="Table Column Heading Centred - Arial (Bold)"/>
    <w:basedOn w:val="TableColumnHeadingLeft"/>
    <w:rsid w:val="004C3683"/>
    <w:pPr>
      <w:spacing w:before="60" w:after="60"/>
      <w:jc w:val="center"/>
    </w:pPr>
    <w:rPr>
      <w:rFonts w:ascii="Arial" w:eastAsia="Batang" w:hAnsi="Arial"/>
      <w:b w:val="0"/>
      <w:bCs/>
      <w:color w:val="000000"/>
      <w:sz w:val="20"/>
      <w:lang w:val="en-GB" w:eastAsia="en-AU"/>
    </w:rPr>
  </w:style>
  <w:style w:type="paragraph" w:customStyle="1" w:styleId="TableColumnHeadingLeft-White">
    <w:name w:val="Table Column Heading Left - White"/>
    <w:basedOn w:val="TableColumnHeadingLeft"/>
    <w:rsid w:val="00B45A6D"/>
    <w:rPr>
      <w:b w:val="0"/>
      <w:bCs/>
    </w:rPr>
  </w:style>
  <w:style w:type="paragraph" w:customStyle="1" w:styleId="TableColumnHeadingCentre-White">
    <w:name w:val="Table Column Heading Centre - White"/>
    <w:basedOn w:val="TableColumnHeadingLeft-White"/>
    <w:rsid w:val="00794F20"/>
    <w:pPr>
      <w:jc w:val="center"/>
    </w:pPr>
  </w:style>
  <w:style w:type="paragraph" w:customStyle="1" w:styleId="TableTextLeft-10pt">
    <w:name w:val="Table Text Left - 10pt"/>
    <w:basedOn w:val="TableTextLeft-Arial"/>
    <w:rsid w:val="009F78DC"/>
  </w:style>
  <w:style w:type="paragraph" w:customStyle="1" w:styleId="TableTextLeft-10pt6n6">
    <w:name w:val="Table Text Left - 10pt 6n6"/>
    <w:basedOn w:val="TableTextLeft-10pt"/>
    <w:rsid w:val="009F78DC"/>
  </w:style>
  <w:style w:type="paragraph" w:customStyle="1" w:styleId="TableTextLeft-Appendix3">
    <w:name w:val="Table Text Left - Appendix 3"/>
    <w:basedOn w:val="TableTextLeft-Appendix"/>
    <w:rsid w:val="00A96A21"/>
    <w:rPr>
      <w:sz w:val="16"/>
    </w:rPr>
  </w:style>
  <w:style w:type="paragraph" w:customStyle="1" w:styleId="TableTextLeft-Appendix4">
    <w:name w:val="Table Text Left - Appendix 4"/>
    <w:basedOn w:val="TableTextLeft-Appendix"/>
    <w:rsid w:val="009F78DC"/>
  </w:style>
  <w:style w:type="paragraph" w:customStyle="1" w:styleId="TableTextRight-Appendix3">
    <w:name w:val="Table Text Right - Appendix 3"/>
    <w:basedOn w:val="TableTextLeft-Appendix3"/>
    <w:rsid w:val="00A96A21"/>
    <w:pPr>
      <w:jc w:val="right"/>
    </w:pPr>
  </w:style>
  <w:style w:type="paragraph" w:customStyle="1" w:styleId="TableTextLeft-Appendix2">
    <w:name w:val="Table Text Left - Appendix 2"/>
    <w:basedOn w:val="TableTextLeft-10pt6n6"/>
    <w:rsid w:val="00A96A21"/>
  </w:style>
  <w:style w:type="paragraph" w:customStyle="1" w:styleId="TableTextLeft-Appendix1">
    <w:name w:val="Table Text Left - Appendix 1"/>
    <w:basedOn w:val="TableTextLeft-10pt"/>
    <w:rsid w:val="00B46724"/>
  </w:style>
  <w:style w:type="paragraph" w:customStyle="1" w:styleId="TableColumnHeadingLeft-ArialBold">
    <w:name w:val="Table Column Heading Left - Arial (Bold)"/>
    <w:basedOn w:val="TableColumnHeadingRight-ArialBold"/>
    <w:rsid w:val="00210034"/>
    <w:pPr>
      <w:jc w:val="left"/>
    </w:pPr>
  </w:style>
  <w:style w:type="paragraph" w:customStyle="1" w:styleId="TableTextLeft-Arial8ptBold">
    <w:name w:val="Table Text Left - Arial 8pt (Bold)"/>
    <w:basedOn w:val="TableTextLeft-ArialBold"/>
    <w:rsid w:val="00C82065"/>
    <w:pPr>
      <w:spacing w:before="80" w:after="80"/>
    </w:pPr>
    <w:rPr>
      <w:szCs w:val="16"/>
    </w:rPr>
  </w:style>
  <w:style w:type="paragraph" w:customStyle="1" w:styleId="TableTextLeft-ArialBoldHeading">
    <w:name w:val="Table Text Left - Arial (Bold Heading)"/>
    <w:basedOn w:val="TableTextLeft-ArialBold"/>
    <w:rsid w:val="00156919"/>
    <w:pPr>
      <w:spacing w:before="80" w:after="80"/>
    </w:pPr>
    <w:rPr>
      <w:sz w:val="20"/>
    </w:rPr>
  </w:style>
  <w:style w:type="character" w:customStyle="1" w:styleId="search-summary">
    <w:name w:val="search-summary"/>
    <w:basedOn w:val="DefaultParagraphFont"/>
    <w:rsid w:val="00653A23"/>
  </w:style>
  <w:style w:type="paragraph" w:customStyle="1" w:styleId="Default">
    <w:name w:val="Default"/>
    <w:rsid w:val="00EF26D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000E98"/>
    <w:rPr>
      <w:i/>
      <w:iCs/>
    </w:rPr>
  </w:style>
  <w:style w:type="character" w:styleId="UnresolvedMention">
    <w:name w:val="Unresolved Mention"/>
    <w:basedOn w:val="DefaultParagraphFont"/>
    <w:uiPriority w:val="99"/>
    <w:semiHidden/>
    <w:unhideWhenUsed/>
    <w:rsid w:val="00A32306"/>
    <w:rPr>
      <w:color w:val="605E5C"/>
      <w:shd w:val="clear" w:color="auto" w:fill="E1DFDD"/>
    </w:rPr>
  </w:style>
  <w:style w:type="character" w:customStyle="1" w:styleId="cf01">
    <w:name w:val="cf01"/>
    <w:basedOn w:val="DefaultParagraphFont"/>
    <w:rsid w:val="002E3CB3"/>
    <w:rPr>
      <w:rFonts w:ascii="Segoe UI" w:hAnsi="Segoe UI" w:cs="Segoe UI" w:hint="default"/>
      <w:sz w:val="18"/>
      <w:szCs w:val="18"/>
    </w:rPr>
  </w:style>
  <w:style w:type="character" w:customStyle="1" w:styleId="cf11">
    <w:name w:val="cf11"/>
    <w:basedOn w:val="DefaultParagraphFont"/>
    <w:rsid w:val="00833B0D"/>
    <w:rPr>
      <w:rFonts w:ascii="Segoe UI" w:hAnsi="Segoe UI" w:cs="Segoe UI" w:hint="default"/>
      <w:sz w:val="18"/>
      <w:szCs w:val="18"/>
      <w:shd w:val="clear" w:color="auto" w:fill="FFFFFF"/>
    </w:rPr>
  </w:style>
  <w:style w:type="character" w:customStyle="1" w:styleId="ui-provider">
    <w:name w:val="ui-provider"/>
    <w:basedOn w:val="DefaultParagraphFont"/>
    <w:rsid w:val="00040B6D"/>
  </w:style>
  <w:style w:type="paragraph" w:customStyle="1" w:styleId="Titlecover">
    <w:name w:val="Title cover"/>
    <w:basedOn w:val="Normal"/>
    <w:rsid w:val="00A818C0"/>
    <w:pPr>
      <w:spacing w:after="120" w:line="240" w:lineRule="auto"/>
      <w:outlineLvl w:val="0"/>
    </w:pPr>
    <w:rPr>
      <w:rFonts w:ascii="Oswald" w:hAnsi="Oswald"/>
      <w:caps/>
      <w:sz w:val="60"/>
      <w:szCs w:val="60"/>
    </w:rPr>
  </w:style>
  <w:style w:type="paragraph" w:customStyle="1" w:styleId="SubtitleCover">
    <w:name w:val="Subtitle Cover"/>
    <w:basedOn w:val="Normal"/>
    <w:rsid w:val="00A818C0"/>
    <w:pPr>
      <w:spacing w:line="240" w:lineRule="auto"/>
      <w:outlineLvl w:val="1"/>
    </w:pPr>
    <w:rPr>
      <w:rFonts w:ascii="Oswald" w:hAnsi="Oswald"/>
      <w:color w:val="0E406A" w:themeColor="accent1"/>
      <w:sz w:val="43"/>
      <w:szCs w:val="43"/>
    </w:rPr>
  </w:style>
  <w:style w:type="paragraph" w:customStyle="1" w:styleId="Datecover">
    <w:name w:val="Date cover"/>
    <w:basedOn w:val="Normal"/>
    <w:rsid w:val="00903246"/>
    <w:pPr>
      <w:spacing w:line="240" w:lineRule="auto"/>
      <w:jc w:val="center"/>
    </w:pPr>
    <w:rPr>
      <w:rFonts w:ascii="Arial Bold" w:eastAsia="Batang" w:hAnsi="Arial Bold" w:cs="Arial"/>
      <w:b/>
      <w:smallCaps/>
      <w:color w:val="1F497D" w:themeColor="text2"/>
      <w:sz w:val="52"/>
      <w:szCs w:val="52"/>
    </w:rPr>
  </w:style>
  <w:style w:type="paragraph" w:customStyle="1" w:styleId="Result">
    <w:name w:val="Result"/>
    <w:basedOn w:val="Heading3"/>
    <w:rsid w:val="003274C0"/>
    <w:pPr>
      <w:spacing w:before="180"/>
      <w:jc w:val="center"/>
    </w:pPr>
  </w:style>
  <w:style w:type="table" w:styleId="PlainTable1">
    <w:name w:val="Plain Table 1"/>
    <w:basedOn w:val="TableNormal"/>
    <w:uiPriority w:val="41"/>
    <w:rsid w:val="00CD08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E7C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F4C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space">
    <w:name w:val="no space"/>
    <w:basedOn w:val="Normal"/>
    <w:rsid w:val="00382254"/>
    <w:pPr>
      <w:spacing w:after="0" w:line="240" w:lineRule="auto"/>
    </w:pPr>
    <w:rPr>
      <w:sz w:val="12"/>
    </w:rPr>
  </w:style>
  <w:style w:type="character" w:customStyle="1" w:styleId="Members">
    <w:name w:val="Members"/>
    <w:basedOn w:val="DefaultParagraphFont"/>
    <w:uiPriority w:val="1"/>
    <w:rsid w:val="00182BD1"/>
    <w:rPr>
      <w:rFonts w:ascii="Arial" w:hAnsi="Arial"/>
      <w:b/>
      <w:color w:val="0E406A" w:themeColor="accent1"/>
      <w:sz w:val="19"/>
    </w:rPr>
  </w:style>
  <w:style w:type="table" w:customStyle="1" w:styleId="TP-ARtotal">
    <w:name w:val="TP-AR _total"/>
    <w:basedOn w:val="TableNormal"/>
    <w:uiPriority w:val="99"/>
    <w:rsid w:val="00986FDF"/>
    <w:rPr>
      <w:rFonts w:asciiTheme="minorHAnsi" w:hAnsiTheme="minorHAnsi"/>
    </w:rPr>
    <w:tblPr>
      <w:tblBorders>
        <w:insideH w:val="single" w:sz="4" w:space="0" w:color="F2F2F2" w:themeColor="background1" w:themeShade="F2"/>
      </w:tblBorders>
    </w:tblPr>
    <w:tcPr>
      <w:shd w:val="clear" w:color="auto" w:fill="auto"/>
    </w:tcPr>
    <w:tblStylePr w:type="firstRow">
      <w:tblPr/>
      <w:tcPr>
        <w:tcBorders>
          <w:top w:val="nil"/>
          <w:left w:val="nil"/>
          <w:bottom w:val="nil"/>
          <w:right w:val="nil"/>
          <w:insideH w:val="nil"/>
          <w:insideV w:val="nil"/>
          <w:tl2br w:val="nil"/>
          <w:tr2bl w:val="nil"/>
        </w:tcBorders>
        <w:shd w:val="clear" w:color="auto" w:fill="0E406A" w:themeFill="accent1"/>
      </w:tcPr>
    </w:tblStylePr>
    <w:tblStylePr w:type="lastRow">
      <w:tblPr/>
      <w:tcPr>
        <w:tcBorders>
          <w:top w:val="single" w:sz="4" w:space="0" w:color="0E406A" w:themeColor="accent1"/>
          <w:bottom w:val="single" w:sz="4" w:space="0" w:color="0E406A" w:themeColor="accent1"/>
          <w:insideH w:val="nil"/>
        </w:tcBorders>
        <w:shd w:val="clear" w:color="auto" w:fill="F2F2F2" w:themeFill="background1" w:themeFillShade="F2"/>
      </w:tcPr>
    </w:tblStylePr>
  </w:style>
  <w:style w:type="table" w:customStyle="1" w:styleId="TP-ARBanded">
    <w:name w:val="TP-AR_Banded"/>
    <w:basedOn w:val="TableNormal"/>
    <w:uiPriority w:val="99"/>
    <w:rsid w:val="00986FDF"/>
    <w:rPr>
      <w:rFonts w:asciiTheme="minorHAnsi" w:hAnsiTheme="minorHAnsi"/>
    </w:rPr>
    <w:tblPr>
      <w:tblStyleRowBandSize w:val="1"/>
      <w:tblStyleColBandSize w:val="1"/>
      <w:tblBorders>
        <w:bottom w:val="single" w:sz="4" w:space="0" w:color="0E406A" w:themeColor="accent1"/>
      </w:tblBorders>
    </w:tblPr>
    <w:trPr>
      <w:cantSplit/>
    </w:trPr>
    <w:tcPr>
      <w:shd w:val="clear" w:color="auto" w:fill="auto"/>
    </w:tcPr>
    <w:tblStylePr w:type="firstRow">
      <w:tblPr/>
      <w:tcPr>
        <w:shd w:val="clear" w:color="auto" w:fill="0E406A" w:themeFill="accent1"/>
      </w:tcPr>
    </w:tblStylePr>
    <w:tblStylePr w:type="lastRow">
      <w:tblPr/>
      <w:tcPr>
        <w:tcBorders>
          <w:top w:val="nil"/>
          <w:left w:val="nil"/>
          <w:bottom w:val="single" w:sz="4" w:space="0" w:color="0E406A" w:themeColor="accen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956">
      <w:bodyDiv w:val="1"/>
      <w:marLeft w:val="0"/>
      <w:marRight w:val="0"/>
      <w:marTop w:val="0"/>
      <w:marBottom w:val="0"/>
      <w:divBdr>
        <w:top w:val="none" w:sz="0" w:space="0" w:color="auto"/>
        <w:left w:val="none" w:sz="0" w:space="0" w:color="auto"/>
        <w:bottom w:val="none" w:sz="0" w:space="0" w:color="auto"/>
        <w:right w:val="none" w:sz="0" w:space="0" w:color="auto"/>
      </w:divBdr>
      <w:divsChild>
        <w:div w:id="669135989">
          <w:marLeft w:val="0"/>
          <w:marRight w:val="0"/>
          <w:marTop w:val="0"/>
          <w:marBottom w:val="0"/>
          <w:divBdr>
            <w:top w:val="none" w:sz="0" w:space="0" w:color="auto"/>
            <w:left w:val="none" w:sz="0" w:space="0" w:color="auto"/>
            <w:bottom w:val="none" w:sz="0" w:space="0" w:color="auto"/>
            <w:right w:val="none" w:sz="0" w:space="0" w:color="auto"/>
          </w:divBdr>
          <w:divsChild>
            <w:div w:id="2007632474">
              <w:marLeft w:val="0"/>
              <w:marRight w:val="0"/>
              <w:marTop w:val="0"/>
              <w:marBottom w:val="0"/>
              <w:divBdr>
                <w:top w:val="none" w:sz="0" w:space="0" w:color="auto"/>
                <w:left w:val="none" w:sz="0" w:space="0" w:color="auto"/>
                <w:bottom w:val="none" w:sz="0" w:space="0" w:color="auto"/>
                <w:right w:val="none" w:sz="0" w:space="0" w:color="auto"/>
              </w:divBdr>
              <w:divsChild>
                <w:div w:id="1120762435">
                  <w:marLeft w:val="0"/>
                  <w:marRight w:val="0"/>
                  <w:marTop w:val="0"/>
                  <w:marBottom w:val="720"/>
                  <w:divBdr>
                    <w:top w:val="none" w:sz="0" w:space="0" w:color="auto"/>
                    <w:left w:val="none" w:sz="0" w:space="0" w:color="auto"/>
                    <w:bottom w:val="none" w:sz="0" w:space="0" w:color="auto"/>
                    <w:right w:val="none" w:sz="0" w:space="0" w:color="auto"/>
                  </w:divBdr>
                  <w:divsChild>
                    <w:div w:id="519591443">
                      <w:marLeft w:val="3330"/>
                      <w:marRight w:val="0"/>
                      <w:marTop w:val="0"/>
                      <w:marBottom w:val="0"/>
                      <w:divBdr>
                        <w:top w:val="none" w:sz="0" w:space="0" w:color="auto"/>
                        <w:left w:val="none" w:sz="0" w:space="0" w:color="auto"/>
                        <w:bottom w:val="none" w:sz="0" w:space="0" w:color="auto"/>
                        <w:right w:val="none" w:sz="0" w:space="0" w:color="auto"/>
                      </w:divBdr>
                      <w:divsChild>
                        <w:div w:id="291139169">
                          <w:marLeft w:val="450"/>
                          <w:marRight w:val="0"/>
                          <w:marTop w:val="0"/>
                          <w:marBottom w:val="0"/>
                          <w:divBdr>
                            <w:top w:val="none" w:sz="0" w:space="0" w:color="auto"/>
                            <w:left w:val="none" w:sz="0" w:space="0" w:color="auto"/>
                            <w:bottom w:val="none" w:sz="0" w:space="0" w:color="auto"/>
                            <w:right w:val="none" w:sz="0" w:space="0" w:color="auto"/>
                          </w:divBdr>
                          <w:divsChild>
                            <w:div w:id="2807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4023">
      <w:bodyDiv w:val="1"/>
      <w:marLeft w:val="0"/>
      <w:marRight w:val="0"/>
      <w:marTop w:val="0"/>
      <w:marBottom w:val="0"/>
      <w:divBdr>
        <w:top w:val="none" w:sz="0" w:space="0" w:color="auto"/>
        <w:left w:val="none" w:sz="0" w:space="0" w:color="auto"/>
        <w:bottom w:val="none" w:sz="0" w:space="0" w:color="auto"/>
        <w:right w:val="none" w:sz="0" w:space="0" w:color="auto"/>
      </w:divBdr>
    </w:div>
    <w:div w:id="141390543">
      <w:bodyDiv w:val="1"/>
      <w:marLeft w:val="0"/>
      <w:marRight w:val="0"/>
      <w:marTop w:val="0"/>
      <w:marBottom w:val="0"/>
      <w:divBdr>
        <w:top w:val="none" w:sz="0" w:space="0" w:color="auto"/>
        <w:left w:val="none" w:sz="0" w:space="0" w:color="auto"/>
        <w:bottom w:val="none" w:sz="0" w:space="0" w:color="auto"/>
        <w:right w:val="none" w:sz="0" w:space="0" w:color="auto"/>
      </w:divBdr>
    </w:div>
    <w:div w:id="148134860">
      <w:bodyDiv w:val="1"/>
      <w:marLeft w:val="0"/>
      <w:marRight w:val="0"/>
      <w:marTop w:val="0"/>
      <w:marBottom w:val="0"/>
      <w:divBdr>
        <w:top w:val="none" w:sz="0" w:space="0" w:color="auto"/>
        <w:left w:val="none" w:sz="0" w:space="0" w:color="auto"/>
        <w:bottom w:val="none" w:sz="0" w:space="0" w:color="auto"/>
        <w:right w:val="none" w:sz="0" w:space="0" w:color="auto"/>
      </w:divBdr>
    </w:div>
    <w:div w:id="192160680">
      <w:bodyDiv w:val="1"/>
      <w:marLeft w:val="0"/>
      <w:marRight w:val="0"/>
      <w:marTop w:val="0"/>
      <w:marBottom w:val="0"/>
      <w:divBdr>
        <w:top w:val="none" w:sz="0" w:space="0" w:color="auto"/>
        <w:left w:val="none" w:sz="0" w:space="0" w:color="auto"/>
        <w:bottom w:val="none" w:sz="0" w:space="0" w:color="auto"/>
        <w:right w:val="none" w:sz="0" w:space="0" w:color="auto"/>
      </w:divBdr>
    </w:div>
    <w:div w:id="247888310">
      <w:bodyDiv w:val="1"/>
      <w:marLeft w:val="0"/>
      <w:marRight w:val="0"/>
      <w:marTop w:val="0"/>
      <w:marBottom w:val="0"/>
      <w:divBdr>
        <w:top w:val="none" w:sz="0" w:space="0" w:color="auto"/>
        <w:left w:val="none" w:sz="0" w:space="0" w:color="auto"/>
        <w:bottom w:val="none" w:sz="0" w:space="0" w:color="auto"/>
        <w:right w:val="none" w:sz="0" w:space="0" w:color="auto"/>
      </w:divBdr>
    </w:div>
    <w:div w:id="256062882">
      <w:bodyDiv w:val="1"/>
      <w:marLeft w:val="0"/>
      <w:marRight w:val="0"/>
      <w:marTop w:val="0"/>
      <w:marBottom w:val="0"/>
      <w:divBdr>
        <w:top w:val="none" w:sz="0" w:space="0" w:color="auto"/>
        <w:left w:val="none" w:sz="0" w:space="0" w:color="auto"/>
        <w:bottom w:val="none" w:sz="0" w:space="0" w:color="auto"/>
        <w:right w:val="none" w:sz="0" w:space="0" w:color="auto"/>
      </w:divBdr>
    </w:div>
    <w:div w:id="328752601">
      <w:bodyDiv w:val="1"/>
      <w:marLeft w:val="0"/>
      <w:marRight w:val="0"/>
      <w:marTop w:val="0"/>
      <w:marBottom w:val="0"/>
      <w:divBdr>
        <w:top w:val="none" w:sz="0" w:space="0" w:color="auto"/>
        <w:left w:val="none" w:sz="0" w:space="0" w:color="auto"/>
        <w:bottom w:val="none" w:sz="0" w:space="0" w:color="auto"/>
        <w:right w:val="none" w:sz="0" w:space="0" w:color="auto"/>
      </w:divBdr>
    </w:div>
    <w:div w:id="375667044">
      <w:bodyDiv w:val="1"/>
      <w:marLeft w:val="0"/>
      <w:marRight w:val="0"/>
      <w:marTop w:val="0"/>
      <w:marBottom w:val="0"/>
      <w:divBdr>
        <w:top w:val="none" w:sz="0" w:space="0" w:color="auto"/>
        <w:left w:val="none" w:sz="0" w:space="0" w:color="auto"/>
        <w:bottom w:val="none" w:sz="0" w:space="0" w:color="auto"/>
        <w:right w:val="none" w:sz="0" w:space="0" w:color="auto"/>
      </w:divBdr>
    </w:div>
    <w:div w:id="458693234">
      <w:bodyDiv w:val="1"/>
      <w:marLeft w:val="0"/>
      <w:marRight w:val="0"/>
      <w:marTop w:val="0"/>
      <w:marBottom w:val="0"/>
      <w:divBdr>
        <w:top w:val="none" w:sz="0" w:space="0" w:color="auto"/>
        <w:left w:val="none" w:sz="0" w:space="0" w:color="auto"/>
        <w:bottom w:val="none" w:sz="0" w:space="0" w:color="auto"/>
        <w:right w:val="none" w:sz="0" w:space="0" w:color="auto"/>
      </w:divBdr>
    </w:div>
    <w:div w:id="501161262">
      <w:bodyDiv w:val="1"/>
      <w:marLeft w:val="0"/>
      <w:marRight w:val="0"/>
      <w:marTop w:val="0"/>
      <w:marBottom w:val="0"/>
      <w:divBdr>
        <w:top w:val="none" w:sz="0" w:space="0" w:color="auto"/>
        <w:left w:val="none" w:sz="0" w:space="0" w:color="auto"/>
        <w:bottom w:val="none" w:sz="0" w:space="0" w:color="auto"/>
        <w:right w:val="none" w:sz="0" w:space="0" w:color="auto"/>
      </w:divBdr>
    </w:div>
    <w:div w:id="622426565">
      <w:bodyDiv w:val="1"/>
      <w:marLeft w:val="0"/>
      <w:marRight w:val="0"/>
      <w:marTop w:val="0"/>
      <w:marBottom w:val="0"/>
      <w:divBdr>
        <w:top w:val="none" w:sz="0" w:space="0" w:color="auto"/>
        <w:left w:val="none" w:sz="0" w:space="0" w:color="auto"/>
        <w:bottom w:val="none" w:sz="0" w:space="0" w:color="auto"/>
        <w:right w:val="none" w:sz="0" w:space="0" w:color="auto"/>
      </w:divBdr>
    </w:div>
    <w:div w:id="691494073">
      <w:bodyDiv w:val="1"/>
      <w:marLeft w:val="0"/>
      <w:marRight w:val="0"/>
      <w:marTop w:val="0"/>
      <w:marBottom w:val="0"/>
      <w:divBdr>
        <w:top w:val="none" w:sz="0" w:space="0" w:color="auto"/>
        <w:left w:val="none" w:sz="0" w:space="0" w:color="auto"/>
        <w:bottom w:val="none" w:sz="0" w:space="0" w:color="auto"/>
        <w:right w:val="none" w:sz="0" w:space="0" w:color="auto"/>
      </w:divBdr>
      <w:divsChild>
        <w:div w:id="1558710293">
          <w:marLeft w:val="0"/>
          <w:marRight w:val="0"/>
          <w:marTop w:val="0"/>
          <w:marBottom w:val="0"/>
          <w:divBdr>
            <w:top w:val="none" w:sz="0" w:space="0" w:color="auto"/>
            <w:left w:val="none" w:sz="0" w:space="0" w:color="auto"/>
            <w:bottom w:val="none" w:sz="0" w:space="0" w:color="auto"/>
            <w:right w:val="none" w:sz="0" w:space="0" w:color="auto"/>
          </w:divBdr>
          <w:divsChild>
            <w:div w:id="6032047">
              <w:marLeft w:val="0"/>
              <w:marRight w:val="0"/>
              <w:marTop w:val="0"/>
              <w:marBottom w:val="0"/>
              <w:divBdr>
                <w:top w:val="none" w:sz="0" w:space="0" w:color="auto"/>
                <w:left w:val="none" w:sz="0" w:space="0" w:color="auto"/>
                <w:bottom w:val="none" w:sz="0" w:space="0" w:color="auto"/>
                <w:right w:val="none" w:sz="0" w:space="0" w:color="auto"/>
              </w:divBdr>
              <w:divsChild>
                <w:div w:id="1020472974">
                  <w:marLeft w:val="0"/>
                  <w:marRight w:val="0"/>
                  <w:marTop w:val="0"/>
                  <w:marBottom w:val="720"/>
                  <w:divBdr>
                    <w:top w:val="none" w:sz="0" w:space="0" w:color="auto"/>
                    <w:left w:val="none" w:sz="0" w:space="0" w:color="auto"/>
                    <w:bottom w:val="none" w:sz="0" w:space="0" w:color="auto"/>
                    <w:right w:val="none" w:sz="0" w:space="0" w:color="auto"/>
                  </w:divBdr>
                  <w:divsChild>
                    <w:div w:id="503280289">
                      <w:marLeft w:val="3330"/>
                      <w:marRight w:val="0"/>
                      <w:marTop w:val="0"/>
                      <w:marBottom w:val="0"/>
                      <w:divBdr>
                        <w:top w:val="none" w:sz="0" w:space="0" w:color="auto"/>
                        <w:left w:val="none" w:sz="0" w:space="0" w:color="auto"/>
                        <w:bottom w:val="none" w:sz="0" w:space="0" w:color="auto"/>
                        <w:right w:val="none" w:sz="0" w:space="0" w:color="auto"/>
                      </w:divBdr>
                      <w:divsChild>
                        <w:div w:id="1616401878">
                          <w:marLeft w:val="450"/>
                          <w:marRight w:val="0"/>
                          <w:marTop w:val="0"/>
                          <w:marBottom w:val="0"/>
                          <w:divBdr>
                            <w:top w:val="none" w:sz="0" w:space="0" w:color="auto"/>
                            <w:left w:val="none" w:sz="0" w:space="0" w:color="auto"/>
                            <w:bottom w:val="none" w:sz="0" w:space="0" w:color="auto"/>
                            <w:right w:val="none" w:sz="0" w:space="0" w:color="auto"/>
                          </w:divBdr>
                          <w:divsChild>
                            <w:div w:id="7920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4540">
      <w:bodyDiv w:val="1"/>
      <w:marLeft w:val="0"/>
      <w:marRight w:val="0"/>
      <w:marTop w:val="0"/>
      <w:marBottom w:val="0"/>
      <w:divBdr>
        <w:top w:val="none" w:sz="0" w:space="0" w:color="auto"/>
        <w:left w:val="none" w:sz="0" w:space="0" w:color="auto"/>
        <w:bottom w:val="none" w:sz="0" w:space="0" w:color="auto"/>
        <w:right w:val="none" w:sz="0" w:space="0" w:color="auto"/>
      </w:divBdr>
    </w:div>
    <w:div w:id="810095954">
      <w:bodyDiv w:val="1"/>
      <w:marLeft w:val="0"/>
      <w:marRight w:val="0"/>
      <w:marTop w:val="0"/>
      <w:marBottom w:val="0"/>
      <w:divBdr>
        <w:top w:val="none" w:sz="0" w:space="0" w:color="auto"/>
        <w:left w:val="none" w:sz="0" w:space="0" w:color="auto"/>
        <w:bottom w:val="none" w:sz="0" w:space="0" w:color="auto"/>
        <w:right w:val="none" w:sz="0" w:space="0" w:color="auto"/>
      </w:divBdr>
    </w:div>
    <w:div w:id="987977915">
      <w:bodyDiv w:val="1"/>
      <w:marLeft w:val="0"/>
      <w:marRight w:val="0"/>
      <w:marTop w:val="0"/>
      <w:marBottom w:val="0"/>
      <w:divBdr>
        <w:top w:val="none" w:sz="0" w:space="0" w:color="auto"/>
        <w:left w:val="none" w:sz="0" w:space="0" w:color="auto"/>
        <w:bottom w:val="none" w:sz="0" w:space="0" w:color="auto"/>
        <w:right w:val="none" w:sz="0" w:space="0" w:color="auto"/>
      </w:divBdr>
    </w:div>
    <w:div w:id="1001931877">
      <w:bodyDiv w:val="1"/>
      <w:marLeft w:val="0"/>
      <w:marRight w:val="0"/>
      <w:marTop w:val="0"/>
      <w:marBottom w:val="0"/>
      <w:divBdr>
        <w:top w:val="none" w:sz="0" w:space="0" w:color="auto"/>
        <w:left w:val="none" w:sz="0" w:space="0" w:color="auto"/>
        <w:bottom w:val="none" w:sz="0" w:space="0" w:color="auto"/>
        <w:right w:val="none" w:sz="0" w:space="0" w:color="auto"/>
      </w:divBdr>
    </w:div>
    <w:div w:id="1192381047">
      <w:bodyDiv w:val="1"/>
      <w:marLeft w:val="0"/>
      <w:marRight w:val="0"/>
      <w:marTop w:val="0"/>
      <w:marBottom w:val="0"/>
      <w:divBdr>
        <w:top w:val="none" w:sz="0" w:space="0" w:color="auto"/>
        <w:left w:val="none" w:sz="0" w:space="0" w:color="auto"/>
        <w:bottom w:val="none" w:sz="0" w:space="0" w:color="auto"/>
        <w:right w:val="none" w:sz="0" w:space="0" w:color="auto"/>
      </w:divBdr>
    </w:div>
    <w:div w:id="1361472083">
      <w:bodyDiv w:val="1"/>
      <w:marLeft w:val="0"/>
      <w:marRight w:val="0"/>
      <w:marTop w:val="0"/>
      <w:marBottom w:val="0"/>
      <w:divBdr>
        <w:top w:val="none" w:sz="0" w:space="0" w:color="auto"/>
        <w:left w:val="none" w:sz="0" w:space="0" w:color="auto"/>
        <w:bottom w:val="none" w:sz="0" w:space="0" w:color="auto"/>
        <w:right w:val="none" w:sz="0" w:space="0" w:color="auto"/>
      </w:divBdr>
    </w:div>
    <w:div w:id="1374502065">
      <w:bodyDiv w:val="1"/>
      <w:marLeft w:val="0"/>
      <w:marRight w:val="0"/>
      <w:marTop w:val="0"/>
      <w:marBottom w:val="0"/>
      <w:divBdr>
        <w:top w:val="none" w:sz="0" w:space="0" w:color="auto"/>
        <w:left w:val="none" w:sz="0" w:space="0" w:color="auto"/>
        <w:bottom w:val="none" w:sz="0" w:space="0" w:color="auto"/>
        <w:right w:val="none" w:sz="0" w:space="0" w:color="auto"/>
      </w:divBdr>
      <w:divsChild>
        <w:div w:id="2137943944">
          <w:marLeft w:val="0"/>
          <w:marRight w:val="0"/>
          <w:marTop w:val="0"/>
          <w:marBottom w:val="0"/>
          <w:divBdr>
            <w:top w:val="none" w:sz="0" w:space="0" w:color="auto"/>
            <w:left w:val="none" w:sz="0" w:space="0" w:color="auto"/>
            <w:bottom w:val="none" w:sz="0" w:space="0" w:color="auto"/>
            <w:right w:val="none" w:sz="0" w:space="0" w:color="auto"/>
          </w:divBdr>
          <w:divsChild>
            <w:div w:id="1910915934">
              <w:marLeft w:val="0"/>
              <w:marRight w:val="0"/>
              <w:marTop w:val="0"/>
              <w:marBottom w:val="0"/>
              <w:divBdr>
                <w:top w:val="none" w:sz="0" w:space="0" w:color="auto"/>
                <w:left w:val="none" w:sz="0" w:space="0" w:color="auto"/>
                <w:bottom w:val="none" w:sz="0" w:space="0" w:color="auto"/>
                <w:right w:val="none" w:sz="0" w:space="0" w:color="auto"/>
              </w:divBdr>
              <w:divsChild>
                <w:div w:id="1104497749">
                  <w:marLeft w:val="0"/>
                  <w:marRight w:val="0"/>
                  <w:marTop w:val="0"/>
                  <w:marBottom w:val="720"/>
                  <w:divBdr>
                    <w:top w:val="none" w:sz="0" w:space="0" w:color="auto"/>
                    <w:left w:val="none" w:sz="0" w:space="0" w:color="auto"/>
                    <w:bottom w:val="none" w:sz="0" w:space="0" w:color="auto"/>
                    <w:right w:val="none" w:sz="0" w:space="0" w:color="auto"/>
                  </w:divBdr>
                  <w:divsChild>
                    <w:div w:id="521282317">
                      <w:marLeft w:val="3330"/>
                      <w:marRight w:val="0"/>
                      <w:marTop w:val="0"/>
                      <w:marBottom w:val="0"/>
                      <w:divBdr>
                        <w:top w:val="none" w:sz="0" w:space="0" w:color="auto"/>
                        <w:left w:val="none" w:sz="0" w:space="0" w:color="auto"/>
                        <w:bottom w:val="none" w:sz="0" w:space="0" w:color="auto"/>
                        <w:right w:val="none" w:sz="0" w:space="0" w:color="auto"/>
                      </w:divBdr>
                      <w:divsChild>
                        <w:div w:id="445005148">
                          <w:marLeft w:val="450"/>
                          <w:marRight w:val="0"/>
                          <w:marTop w:val="0"/>
                          <w:marBottom w:val="0"/>
                          <w:divBdr>
                            <w:top w:val="none" w:sz="0" w:space="0" w:color="auto"/>
                            <w:left w:val="none" w:sz="0" w:space="0" w:color="auto"/>
                            <w:bottom w:val="none" w:sz="0" w:space="0" w:color="auto"/>
                            <w:right w:val="none" w:sz="0" w:space="0" w:color="auto"/>
                          </w:divBdr>
                          <w:divsChild>
                            <w:div w:id="17049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5359">
      <w:bodyDiv w:val="1"/>
      <w:marLeft w:val="0"/>
      <w:marRight w:val="0"/>
      <w:marTop w:val="0"/>
      <w:marBottom w:val="0"/>
      <w:divBdr>
        <w:top w:val="none" w:sz="0" w:space="0" w:color="auto"/>
        <w:left w:val="none" w:sz="0" w:space="0" w:color="auto"/>
        <w:bottom w:val="none" w:sz="0" w:space="0" w:color="auto"/>
        <w:right w:val="none" w:sz="0" w:space="0" w:color="auto"/>
      </w:divBdr>
    </w:div>
    <w:div w:id="1587573810">
      <w:bodyDiv w:val="1"/>
      <w:marLeft w:val="0"/>
      <w:marRight w:val="0"/>
      <w:marTop w:val="0"/>
      <w:marBottom w:val="0"/>
      <w:divBdr>
        <w:top w:val="none" w:sz="0" w:space="0" w:color="auto"/>
        <w:left w:val="none" w:sz="0" w:space="0" w:color="auto"/>
        <w:bottom w:val="none" w:sz="0" w:space="0" w:color="auto"/>
        <w:right w:val="none" w:sz="0" w:space="0" w:color="auto"/>
      </w:divBdr>
    </w:div>
    <w:div w:id="1633779349">
      <w:bodyDiv w:val="1"/>
      <w:marLeft w:val="0"/>
      <w:marRight w:val="0"/>
      <w:marTop w:val="0"/>
      <w:marBottom w:val="0"/>
      <w:divBdr>
        <w:top w:val="none" w:sz="0" w:space="0" w:color="auto"/>
        <w:left w:val="none" w:sz="0" w:space="0" w:color="auto"/>
        <w:bottom w:val="none" w:sz="0" w:space="0" w:color="auto"/>
        <w:right w:val="none" w:sz="0" w:space="0" w:color="auto"/>
      </w:divBdr>
    </w:div>
    <w:div w:id="1679887911">
      <w:bodyDiv w:val="1"/>
      <w:marLeft w:val="0"/>
      <w:marRight w:val="0"/>
      <w:marTop w:val="0"/>
      <w:marBottom w:val="0"/>
      <w:divBdr>
        <w:top w:val="none" w:sz="0" w:space="0" w:color="auto"/>
        <w:left w:val="none" w:sz="0" w:space="0" w:color="auto"/>
        <w:bottom w:val="none" w:sz="0" w:space="0" w:color="auto"/>
        <w:right w:val="none" w:sz="0" w:space="0" w:color="auto"/>
      </w:divBdr>
    </w:div>
    <w:div w:id="1738429232">
      <w:bodyDiv w:val="1"/>
      <w:marLeft w:val="0"/>
      <w:marRight w:val="0"/>
      <w:marTop w:val="0"/>
      <w:marBottom w:val="0"/>
      <w:divBdr>
        <w:top w:val="none" w:sz="0" w:space="0" w:color="auto"/>
        <w:left w:val="none" w:sz="0" w:space="0" w:color="auto"/>
        <w:bottom w:val="none" w:sz="0" w:space="0" w:color="auto"/>
        <w:right w:val="none" w:sz="0" w:space="0" w:color="auto"/>
      </w:divBdr>
    </w:div>
    <w:div w:id="1748961844">
      <w:bodyDiv w:val="1"/>
      <w:marLeft w:val="0"/>
      <w:marRight w:val="0"/>
      <w:marTop w:val="0"/>
      <w:marBottom w:val="0"/>
      <w:divBdr>
        <w:top w:val="none" w:sz="0" w:space="0" w:color="auto"/>
        <w:left w:val="none" w:sz="0" w:space="0" w:color="auto"/>
        <w:bottom w:val="none" w:sz="0" w:space="0" w:color="auto"/>
        <w:right w:val="none" w:sz="0" w:space="0" w:color="auto"/>
      </w:divBdr>
    </w:div>
    <w:div w:id="1826165092">
      <w:bodyDiv w:val="1"/>
      <w:marLeft w:val="0"/>
      <w:marRight w:val="0"/>
      <w:marTop w:val="0"/>
      <w:marBottom w:val="0"/>
      <w:divBdr>
        <w:top w:val="none" w:sz="0" w:space="0" w:color="auto"/>
        <w:left w:val="none" w:sz="0" w:space="0" w:color="auto"/>
        <w:bottom w:val="none" w:sz="0" w:space="0" w:color="auto"/>
        <w:right w:val="none" w:sz="0" w:space="0" w:color="auto"/>
      </w:divBdr>
    </w:div>
    <w:div w:id="1866285446">
      <w:bodyDiv w:val="1"/>
      <w:marLeft w:val="0"/>
      <w:marRight w:val="0"/>
      <w:marTop w:val="0"/>
      <w:marBottom w:val="0"/>
      <w:divBdr>
        <w:top w:val="none" w:sz="0" w:space="0" w:color="auto"/>
        <w:left w:val="none" w:sz="0" w:space="0" w:color="auto"/>
        <w:bottom w:val="none" w:sz="0" w:space="0" w:color="auto"/>
        <w:right w:val="none" w:sz="0" w:space="0" w:color="auto"/>
      </w:divBdr>
    </w:div>
    <w:div w:id="1975714789">
      <w:bodyDiv w:val="1"/>
      <w:marLeft w:val="0"/>
      <w:marRight w:val="0"/>
      <w:marTop w:val="0"/>
      <w:marBottom w:val="0"/>
      <w:divBdr>
        <w:top w:val="none" w:sz="0" w:space="0" w:color="auto"/>
        <w:left w:val="none" w:sz="0" w:space="0" w:color="auto"/>
        <w:bottom w:val="none" w:sz="0" w:space="0" w:color="auto"/>
        <w:right w:val="none" w:sz="0" w:space="0" w:color="auto"/>
      </w:divBdr>
      <w:divsChild>
        <w:div w:id="866453711">
          <w:marLeft w:val="0"/>
          <w:marRight w:val="0"/>
          <w:marTop w:val="0"/>
          <w:marBottom w:val="0"/>
          <w:divBdr>
            <w:top w:val="none" w:sz="0" w:space="0" w:color="auto"/>
            <w:left w:val="none" w:sz="0" w:space="0" w:color="auto"/>
            <w:bottom w:val="none" w:sz="0" w:space="0" w:color="auto"/>
            <w:right w:val="none" w:sz="0" w:space="0" w:color="auto"/>
          </w:divBdr>
          <w:divsChild>
            <w:div w:id="1345471754">
              <w:marLeft w:val="0"/>
              <w:marRight w:val="0"/>
              <w:marTop w:val="0"/>
              <w:marBottom w:val="0"/>
              <w:divBdr>
                <w:top w:val="none" w:sz="0" w:space="0" w:color="auto"/>
                <w:left w:val="none" w:sz="0" w:space="0" w:color="auto"/>
                <w:bottom w:val="none" w:sz="0" w:space="0" w:color="auto"/>
                <w:right w:val="none" w:sz="0" w:space="0" w:color="auto"/>
              </w:divBdr>
              <w:divsChild>
                <w:div w:id="1714159638">
                  <w:marLeft w:val="0"/>
                  <w:marRight w:val="0"/>
                  <w:marTop w:val="0"/>
                  <w:marBottom w:val="720"/>
                  <w:divBdr>
                    <w:top w:val="none" w:sz="0" w:space="0" w:color="auto"/>
                    <w:left w:val="none" w:sz="0" w:space="0" w:color="auto"/>
                    <w:bottom w:val="none" w:sz="0" w:space="0" w:color="auto"/>
                    <w:right w:val="none" w:sz="0" w:space="0" w:color="auto"/>
                  </w:divBdr>
                  <w:divsChild>
                    <w:div w:id="47799752">
                      <w:marLeft w:val="3330"/>
                      <w:marRight w:val="0"/>
                      <w:marTop w:val="0"/>
                      <w:marBottom w:val="0"/>
                      <w:divBdr>
                        <w:top w:val="none" w:sz="0" w:space="0" w:color="auto"/>
                        <w:left w:val="none" w:sz="0" w:space="0" w:color="auto"/>
                        <w:bottom w:val="none" w:sz="0" w:space="0" w:color="auto"/>
                        <w:right w:val="none" w:sz="0" w:space="0" w:color="auto"/>
                      </w:divBdr>
                      <w:divsChild>
                        <w:div w:id="1641575906">
                          <w:marLeft w:val="450"/>
                          <w:marRight w:val="0"/>
                          <w:marTop w:val="0"/>
                          <w:marBottom w:val="0"/>
                          <w:divBdr>
                            <w:top w:val="none" w:sz="0" w:space="0" w:color="auto"/>
                            <w:left w:val="none" w:sz="0" w:space="0" w:color="auto"/>
                            <w:bottom w:val="none" w:sz="0" w:space="0" w:color="auto"/>
                            <w:right w:val="none" w:sz="0" w:space="0" w:color="auto"/>
                          </w:divBdr>
                          <w:divsChild>
                            <w:div w:id="3679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5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yperlink" Target="mailto:takeovers@takeovers.gov.au" TargetMode="External"/><Relationship Id="rId42" Type="http://schemas.openxmlformats.org/officeDocument/2006/relationships/header" Target="header14.xml"/><Relationship Id="rId47" Type="http://schemas.openxmlformats.org/officeDocument/2006/relationships/image" Target="media/image8.png"/><Relationship Id="rId63" Type="http://schemas.openxmlformats.org/officeDocument/2006/relationships/header" Target="header21.xml"/><Relationship Id="rId68" Type="http://schemas.openxmlformats.org/officeDocument/2006/relationships/footer" Target="footer22.xml"/><Relationship Id="rId16" Type="http://schemas.openxmlformats.org/officeDocument/2006/relationships/footer" Target="footer4.xml"/><Relationship Id="rId11" Type="http://schemas.openxmlformats.org/officeDocument/2006/relationships/image" Target="media/image2.wmf"/><Relationship Id="rId32" Type="http://schemas.openxmlformats.org/officeDocument/2006/relationships/footer" Target="footer10.xml"/><Relationship Id="rId37" Type="http://schemas.openxmlformats.org/officeDocument/2006/relationships/image" Target="media/image4.jpeg"/><Relationship Id="rId53" Type="http://schemas.openxmlformats.org/officeDocument/2006/relationships/footer" Target="footer16.xml"/><Relationship Id="rId58" Type="http://schemas.openxmlformats.org/officeDocument/2006/relationships/header" Target="header19.xml"/><Relationship Id="rId74" Type="http://schemas.openxmlformats.org/officeDocument/2006/relationships/footer" Target="footer25.xml"/><Relationship Id="rId79" Type="http://schemas.openxmlformats.org/officeDocument/2006/relationships/header" Target="header29.xml"/><Relationship Id="rId5" Type="http://schemas.openxmlformats.org/officeDocument/2006/relationships/footnotes" Target="footnotes.xml"/><Relationship Id="rId61" Type="http://schemas.openxmlformats.org/officeDocument/2006/relationships/header" Target="header20.xml"/><Relationship Id="rId82" Type="http://schemas.openxmlformats.org/officeDocument/2006/relationships/theme" Target="theme/theme1.xml"/><Relationship Id="rId1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tiff"/><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takeovers.gov.au" TargetMode="External"/><Relationship Id="rId43" Type="http://schemas.openxmlformats.org/officeDocument/2006/relationships/footer" Target="footer14.xml"/><Relationship Id="rId48" Type="http://schemas.openxmlformats.org/officeDocument/2006/relationships/image" Target="media/image9.png"/><Relationship Id="rId56" Type="http://schemas.openxmlformats.org/officeDocument/2006/relationships/hyperlink" Target="http://www.apsc.gov.au/" TargetMode="External"/><Relationship Id="rId64" Type="http://schemas.openxmlformats.org/officeDocument/2006/relationships/header" Target="header22.xml"/><Relationship Id="rId69" Type="http://schemas.openxmlformats.org/officeDocument/2006/relationships/header" Target="header24.xml"/><Relationship Id="rId77"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16.xml"/><Relationship Id="rId72" Type="http://schemas.openxmlformats.org/officeDocument/2006/relationships/footer" Target="footer24.xml"/><Relationship Id="rId80"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hyperlink" Target="http://www.takeovers.gov.au" TargetMode="Externa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2.xml"/><Relationship Id="rId46" Type="http://schemas.openxmlformats.org/officeDocument/2006/relationships/image" Target="media/image7.png"/><Relationship Id="rId59" Type="http://schemas.openxmlformats.org/officeDocument/2006/relationships/footer" Target="footer17.xml"/><Relationship Id="rId67" Type="http://schemas.openxmlformats.org/officeDocument/2006/relationships/header" Target="header23.xml"/><Relationship Id="rId20" Type="http://schemas.openxmlformats.org/officeDocument/2006/relationships/hyperlink" Target="file:///C:/Users/KAD/AppData/Local/Microsoft/Windows/Temporary%20Internet%20Files/Content.Outlook/GKIA9E5M/www.takeovers.gov.au" TargetMode="External"/><Relationship Id="rId41" Type="http://schemas.openxmlformats.org/officeDocument/2006/relationships/footer" Target="footer13.xml"/><Relationship Id="rId54" Type="http://schemas.openxmlformats.org/officeDocument/2006/relationships/header" Target="header17.xml"/><Relationship Id="rId62" Type="http://schemas.openxmlformats.org/officeDocument/2006/relationships/footer" Target="footer19.xml"/><Relationship Id="rId70" Type="http://schemas.openxmlformats.org/officeDocument/2006/relationships/header" Target="header25.xml"/><Relationship Id="rId75"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mailto:takeovers@takeovers.gov.au" TargetMode="External"/><Relationship Id="rId49" Type="http://schemas.openxmlformats.org/officeDocument/2006/relationships/image" Target="media/image10.jpeg"/><Relationship Id="rId57" Type="http://schemas.openxmlformats.org/officeDocument/2006/relationships/header" Target="header18.xml"/><Relationship Id="rId10"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5.png"/><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header" Target="header26.xml"/><Relationship Id="rId78" Type="http://schemas.openxmlformats.org/officeDocument/2006/relationships/footer" Target="footer27.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3.xml"/><Relationship Id="rId34" Type="http://schemas.openxmlformats.org/officeDocument/2006/relationships/footer" Target="footer11.xml"/><Relationship Id="rId50" Type="http://schemas.openxmlformats.org/officeDocument/2006/relationships/header" Target="header15.xml"/><Relationship Id="rId55" Type="http://schemas.openxmlformats.org/officeDocument/2006/relationships/hyperlink" Target="https://www.disabilitygateway.gov.au/ads" TargetMode="External"/><Relationship Id="rId76" Type="http://schemas.openxmlformats.org/officeDocument/2006/relationships/header" Target="header28.xml"/><Relationship Id="rId7" Type="http://schemas.openxmlformats.org/officeDocument/2006/relationships/header" Target="header1.xml"/><Relationship Id="rId71" Type="http://schemas.openxmlformats.org/officeDocument/2006/relationships/footer" Target="footer23.xml"/><Relationship Id="rId2" Type="http://schemas.openxmlformats.org/officeDocument/2006/relationships/styles" Target="styles.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footer" Target="footer12.xml"/><Relationship Id="rId45" Type="http://schemas.openxmlformats.org/officeDocument/2006/relationships/image" Target="media/image6.jpg"/><Relationship Id="rId66" Type="http://schemas.openxmlformats.org/officeDocument/2006/relationships/footer" Target="footer2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0E406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7891</Words>
  <Characters>44427</Characters>
  <Application>Microsoft Office Word</Application>
  <DocSecurity>0</DocSecurity>
  <Lines>1620</Lines>
  <Paragraphs>1052</Paragraphs>
  <ScaleCrop>false</ScaleCrop>
  <HeadingPairs>
    <vt:vector size="2" baseType="variant">
      <vt:variant>
        <vt:lpstr>Title</vt:lpstr>
      </vt:variant>
      <vt:variant>
        <vt:i4>1</vt:i4>
      </vt:variant>
    </vt:vector>
  </HeadingPairs>
  <TitlesOfParts>
    <vt:vector size="1" baseType="lpstr">
      <vt:lpstr>Takeovers Panel Annual Report 2023–24</vt:lpstr>
    </vt:vector>
  </TitlesOfParts>
  <Company/>
  <LinksUpToDate>false</LinksUpToDate>
  <CharactersWithSpaces>51393</CharactersWithSpaces>
  <SharedDoc>false</SharedDoc>
  <HLinks>
    <vt:vector size="258" baseType="variant">
      <vt:variant>
        <vt:i4>1048637</vt:i4>
      </vt:variant>
      <vt:variant>
        <vt:i4>260</vt:i4>
      </vt:variant>
      <vt:variant>
        <vt:i4>0</vt:i4>
      </vt:variant>
      <vt:variant>
        <vt:i4>5</vt:i4>
      </vt:variant>
      <vt:variant>
        <vt:lpwstr/>
      </vt:variant>
      <vt:variant>
        <vt:lpwstr>_Toc269736500</vt:lpwstr>
      </vt:variant>
      <vt:variant>
        <vt:i4>1638460</vt:i4>
      </vt:variant>
      <vt:variant>
        <vt:i4>254</vt:i4>
      </vt:variant>
      <vt:variant>
        <vt:i4>0</vt:i4>
      </vt:variant>
      <vt:variant>
        <vt:i4>5</vt:i4>
      </vt:variant>
      <vt:variant>
        <vt:lpwstr/>
      </vt:variant>
      <vt:variant>
        <vt:lpwstr>_Toc269736499</vt:lpwstr>
      </vt:variant>
      <vt:variant>
        <vt:i4>1638460</vt:i4>
      </vt:variant>
      <vt:variant>
        <vt:i4>245</vt:i4>
      </vt:variant>
      <vt:variant>
        <vt:i4>0</vt:i4>
      </vt:variant>
      <vt:variant>
        <vt:i4>5</vt:i4>
      </vt:variant>
      <vt:variant>
        <vt:lpwstr/>
      </vt:variant>
      <vt:variant>
        <vt:lpwstr>_Toc269736498</vt:lpwstr>
      </vt:variant>
      <vt:variant>
        <vt:i4>1638460</vt:i4>
      </vt:variant>
      <vt:variant>
        <vt:i4>239</vt:i4>
      </vt:variant>
      <vt:variant>
        <vt:i4>0</vt:i4>
      </vt:variant>
      <vt:variant>
        <vt:i4>5</vt:i4>
      </vt:variant>
      <vt:variant>
        <vt:lpwstr/>
      </vt:variant>
      <vt:variant>
        <vt:lpwstr>_Toc269736497</vt:lpwstr>
      </vt:variant>
      <vt:variant>
        <vt:i4>1638460</vt:i4>
      </vt:variant>
      <vt:variant>
        <vt:i4>233</vt:i4>
      </vt:variant>
      <vt:variant>
        <vt:i4>0</vt:i4>
      </vt:variant>
      <vt:variant>
        <vt:i4>5</vt:i4>
      </vt:variant>
      <vt:variant>
        <vt:lpwstr/>
      </vt:variant>
      <vt:variant>
        <vt:lpwstr>_Toc269736496</vt:lpwstr>
      </vt:variant>
      <vt:variant>
        <vt:i4>1638460</vt:i4>
      </vt:variant>
      <vt:variant>
        <vt:i4>227</vt:i4>
      </vt:variant>
      <vt:variant>
        <vt:i4>0</vt:i4>
      </vt:variant>
      <vt:variant>
        <vt:i4>5</vt:i4>
      </vt:variant>
      <vt:variant>
        <vt:lpwstr/>
      </vt:variant>
      <vt:variant>
        <vt:lpwstr>_Toc269736495</vt:lpwstr>
      </vt:variant>
      <vt:variant>
        <vt:i4>1638460</vt:i4>
      </vt:variant>
      <vt:variant>
        <vt:i4>221</vt:i4>
      </vt:variant>
      <vt:variant>
        <vt:i4>0</vt:i4>
      </vt:variant>
      <vt:variant>
        <vt:i4>5</vt:i4>
      </vt:variant>
      <vt:variant>
        <vt:lpwstr/>
      </vt:variant>
      <vt:variant>
        <vt:lpwstr>_Toc269736494</vt:lpwstr>
      </vt:variant>
      <vt:variant>
        <vt:i4>1638460</vt:i4>
      </vt:variant>
      <vt:variant>
        <vt:i4>215</vt:i4>
      </vt:variant>
      <vt:variant>
        <vt:i4>0</vt:i4>
      </vt:variant>
      <vt:variant>
        <vt:i4>5</vt:i4>
      </vt:variant>
      <vt:variant>
        <vt:lpwstr/>
      </vt:variant>
      <vt:variant>
        <vt:lpwstr>_Toc269736493</vt:lpwstr>
      </vt:variant>
      <vt:variant>
        <vt:i4>1441845</vt:i4>
      </vt:variant>
      <vt:variant>
        <vt:i4>206</vt:i4>
      </vt:variant>
      <vt:variant>
        <vt:i4>0</vt:i4>
      </vt:variant>
      <vt:variant>
        <vt:i4>5</vt:i4>
      </vt:variant>
      <vt:variant>
        <vt:lpwstr/>
      </vt:variant>
      <vt:variant>
        <vt:lpwstr>_Toc272220744</vt:lpwstr>
      </vt:variant>
      <vt:variant>
        <vt:i4>1441845</vt:i4>
      </vt:variant>
      <vt:variant>
        <vt:i4>200</vt:i4>
      </vt:variant>
      <vt:variant>
        <vt:i4>0</vt:i4>
      </vt:variant>
      <vt:variant>
        <vt:i4>5</vt:i4>
      </vt:variant>
      <vt:variant>
        <vt:lpwstr/>
      </vt:variant>
      <vt:variant>
        <vt:lpwstr>_Toc272220743</vt:lpwstr>
      </vt:variant>
      <vt:variant>
        <vt:i4>1441845</vt:i4>
      </vt:variant>
      <vt:variant>
        <vt:i4>194</vt:i4>
      </vt:variant>
      <vt:variant>
        <vt:i4>0</vt:i4>
      </vt:variant>
      <vt:variant>
        <vt:i4>5</vt:i4>
      </vt:variant>
      <vt:variant>
        <vt:lpwstr/>
      </vt:variant>
      <vt:variant>
        <vt:lpwstr>_Toc272220742</vt:lpwstr>
      </vt:variant>
      <vt:variant>
        <vt:i4>1441845</vt:i4>
      </vt:variant>
      <vt:variant>
        <vt:i4>188</vt:i4>
      </vt:variant>
      <vt:variant>
        <vt:i4>0</vt:i4>
      </vt:variant>
      <vt:variant>
        <vt:i4>5</vt:i4>
      </vt:variant>
      <vt:variant>
        <vt:lpwstr/>
      </vt:variant>
      <vt:variant>
        <vt:lpwstr>_Toc272220741</vt:lpwstr>
      </vt:variant>
      <vt:variant>
        <vt:i4>1441845</vt:i4>
      </vt:variant>
      <vt:variant>
        <vt:i4>182</vt:i4>
      </vt:variant>
      <vt:variant>
        <vt:i4>0</vt:i4>
      </vt:variant>
      <vt:variant>
        <vt:i4>5</vt:i4>
      </vt:variant>
      <vt:variant>
        <vt:lpwstr/>
      </vt:variant>
      <vt:variant>
        <vt:lpwstr>_Toc272220740</vt:lpwstr>
      </vt:variant>
      <vt:variant>
        <vt:i4>1114165</vt:i4>
      </vt:variant>
      <vt:variant>
        <vt:i4>176</vt:i4>
      </vt:variant>
      <vt:variant>
        <vt:i4>0</vt:i4>
      </vt:variant>
      <vt:variant>
        <vt:i4>5</vt:i4>
      </vt:variant>
      <vt:variant>
        <vt:lpwstr/>
      </vt:variant>
      <vt:variant>
        <vt:lpwstr>_Toc272220739</vt:lpwstr>
      </vt:variant>
      <vt:variant>
        <vt:i4>1114165</vt:i4>
      </vt:variant>
      <vt:variant>
        <vt:i4>170</vt:i4>
      </vt:variant>
      <vt:variant>
        <vt:i4>0</vt:i4>
      </vt:variant>
      <vt:variant>
        <vt:i4>5</vt:i4>
      </vt:variant>
      <vt:variant>
        <vt:lpwstr/>
      </vt:variant>
      <vt:variant>
        <vt:lpwstr>_Toc272220738</vt:lpwstr>
      </vt:variant>
      <vt:variant>
        <vt:i4>1114165</vt:i4>
      </vt:variant>
      <vt:variant>
        <vt:i4>164</vt:i4>
      </vt:variant>
      <vt:variant>
        <vt:i4>0</vt:i4>
      </vt:variant>
      <vt:variant>
        <vt:i4>5</vt:i4>
      </vt:variant>
      <vt:variant>
        <vt:lpwstr/>
      </vt:variant>
      <vt:variant>
        <vt:lpwstr>_Toc272220737</vt:lpwstr>
      </vt:variant>
      <vt:variant>
        <vt:i4>1114165</vt:i4>
      </vt:variant>
      <vt:variant>
        <vt:i4>158</vt:i4>
      </vt:variant>
      <vt:variant>
        <vt:i4>0</vt:i4>
      </vt:variant>
      <vt:variant>
        <vt:i4>5</vt:i4>
      </vt:variant>
      <vt:variant>
        <vt:lpwstr/>
      </vt:variant>
      <vt:variant>
        <vt:lpwstr>_Toc272220736</vt:lpwstr>
      </vt:variant>
      <vt:variant>
        <vt:i4>1114165</vt:i4>
      </vt:variant>
      <vt:variant>
        <vt:i4>152</vt:i4>
      </vt:variant>
      <vt:variant>
        <vt:i4>0</vt:i4>
      </vt:variant>
      <vt:variant>
        <vt:i4>5</vt:i4>
      </vt:variant>
      <vt:variant>
        <vt:lpwstr/>
      </vt:variant>
      <vt:variant>
        <vt:lpwstr>_Toc272220735</vt:lpwstr>
      </vt:variant>
      <vt:variant>
        <vt:i4>1114165</vt:i4>
      </vt:variant>
      <vt:variant>
        <vt:i4>146</vt:i4>
      </vt:variant>
      <vt:variant>
        <vt:i4>0</vt:i4>
      </vt:variant>
      <vt:variant>
        <vt:i4>5</vt:i4>
      </vt:variant>
      <vt:variant>
        <vt:lpwstr/>
      </vt:variant>
      <vt:variant>
        <vt:lpwstr>_Toc272220734</vt:lpwstr>
      </vt:variant>
      <vt:variant>
        <vt:i4>1114165</vt:i4>
      </vt:variant>
      <vt:variant>
        <vt:i4>140</vt:i4>
      </vt:variant>
      <vt:variant>
        <vt:i4>0</vt:i4>
      </vt:variant>
      <vt:variant>
        <vt:i4>5</vt:i4>
      </vt:variant>
      <vt:variant>
        <vt:lpwstr/>
      </vt:variant>
      <vt:variant>
        <vt:lpwstr>_Toc272220733</vt:lpwstr>
      </vt:variant>
      <vt:variant>
        <vt:i4>1114165</vt:i4>
      </vt:variant>
      <vt:variant>
        <vt:i4>134</vt:i4>
      </vt:variant>
      <vt:variant>
        <vt:i4>0</vt:i4>
      </vt:variant>
      <vt:variant>
        <vt:i4>5</vt:i4>
      </vt:variant>
      <vt:variant>
        <vt:lpwstr/>
      </vt:variant>
      <vt:variant>
        <vt:lpwstr>_Toc272220732</vt:lpwstr>
      </vt:variant>
      <vt:variant>
        <vt:i4>1114165</vt:i4>
      </vt:variant>
      <vt:variant>
        <vt:i4>128</vt:i4>
      </vt:variant>
      <vt:variant>
        <vt:i4>0</vt:i4>
      </vt:variant>
      <vt:variant>
        <vt:i4>5</vt:i4>
      </vt:variant>
      <vt:variant>
        <vt:lpwstr/>
      </vt:variant>
      <vt:variant>
        <vt:lpwstr>_Toc272220731</vt:lpwstr>
      </vt:variant>
      <vt:variant>
        <vt:i4>1114165</vt:i4>
      </vt:variant>
      <vt:variant>
        <vt:i4>122</vt:i4>
      </vt:variant>
      <vt:variant>
        <vt:i4>0</vt:i4>
      </vt:variant>
      <vt:variant>
        <vt:i4>5</vt:i4>
      </vt:variant>
      <vt:variant>
        <vt:lpwstr/>
      </vt:variant>
      <vt:variant>
        <vt:lpwstr>_Toc272220730</vt:lpwstr>
      </vt:variant>
      <vt:variant>
        <vt:i4>1048629</vt:i4>
      </vt:variant>
      <vt:variant>
        <vt:i4>116</vt:i4>
      </vt:variant>
      <vt:variant>
        <vt:i4>0</vt:i4>
      </vt:variant>
      <vt:variant>
        <vt:i4>5</vt:i4>
      </vt:variant>
      <vt:variant>
        <vt:lpwstr/>
      </vt:variant>
      <vt:variant>
        <vt:lpwstr>_Toc272220729</vt:lpwstr>
      </vt:variant>
      <vt:variant>
        <vt:i4>1048629</vt:i4>
      </vt:variant>
      <vt:variant>
        <vt:i4>110</vt:i4>
      </vt:variant>
      <vt:variant>
        <vt:i4>0</vt:i4>
      </vt:variant>
      <vt:variant>
        <vt:i4>5</vt:i4>
      </vt:variant>
      <vt:variant>
        <vt:lpwstr/>
      </vt:variant>
      <vt:variant>
        <vt:lpwstr>_Toc272220728</vt:lpwstr>
      </vt:variant>
      <vt:variant>
        <vt:i4>1048629</vt:i4>
      </vt:variant>
      <vt:variant>
        <vt:i4>104</vt:i4>
      </vt:variant>
      <vt:variant>
        <vt:i4>0</vt:i4>
      </vt:variant>
      <vt:variant>
        <vt:i4>5</vt:i4>
      </vt:variant>
      <vt:variant>
        <vt:lpwstr/>
      </vt:variant>
      <vt:variant>
        <vt:lpwstr>_Toc272220727</vt:lpwstr>
      </vt:variant>
      <vt:variant>
        <vt:i4>1048629</vt:i4>
      </vt:variant>
      <vt:variant>
        <vt:i4>98</vt:i4>
      </vt:variant>
      <vt:variant>
        <vt:i4>0</vt:i4>
      </vt:variant>
      <vt:variant>
        <vt:i4>5</vt:i4>
      </vt:variant>
      <vt:variant>
        <vt:lpwstr/>
      </vt:variant>
      <vt:variant>
        <vt:lpwstr>_Toc272220726</vt:lpwstr>
      </vt:variant>
      <vt:variant>
        <vt:i4>1048629</vt:i4>
      </vt:variant>
      <vt:variant>
        <vt:i4>92</vt:i4>
      </vt:variant>
      <vt:variant>
        <vt:i4>0</vt:i4>
      </vt:variant>
      <vt:variant>
        <vt:i4>5</vt:i4>
      </vt:variant>
      <vt:variant>
        <vt:lpwstr/>
      </vt:variant>
      <vt:variant>
        <vt:lpwstr>_Toc272220725</vt:lpwstr>
      </vt:variant>
      <vt:variant>
        <vt:i4>1048629</vt:i4>
      </vt:variant>
      <vt:variant>
        <vt:i4>86</vt:i4>
      </vt:variant>
      <vt:variant>
        <vt:i4>0</vt:i4>
      </vt:variant>
      <vt:variant>
        <vt:i4>5</vt:i4>
      </vt:variant>
      <vt:variant>
        <vt:lpwstr/>
      </vt:variant>
      <vt:variant>
        <vt:lpwstr>_Toc272220724</vt:lpwstr>
      </vt:variant>
      <vt:variant>
        <vt:i4>1048629</vt:i4>
      </vt:variant>
      <vt:variant>
        <vt:i4>80</vt:i4>
      </vt:variant>
      <vt:variant>
        <vt:i4>0</vt:i4>
      </vt:variant>
      <vt:variant>
        <vt:i4>5</vt:i4>
      </vt:variant>
      <vt:variant>
        <vt:lpwstr/>
      </vt:variant>
      <vt:variant>
        <vt:lpwstr>_Toc272220723</vt:lpwstr>
      </vt:variant>
      <vt:variant>
        <vt:i4>1048629</vt:i4>
      </vt:variant>
      <vt:variant>
        <vt:i4>74</vt:i4>
      </vt:variant>
      <vt:variant>
        <vt:i4>0</vt:i4>
      </vt:variant>
      <vt:variant>
        <vt:i4>5</vt:i4>
      </vt:variant>
      <vt:variant>
        <vt:lpwstr/>
      </vt:variant>
      <vt:variant>
        <vt:lpwstr>_Toc272220722</vt:lpwstr>
      </vt:variant>
      <vt:variant>
        <vt:i4>1048629</vt:i4>
      </vt:variant>
      <vt:variant>
        <vt:i4>68</vt:i4>
      </vt:variant>
      <vt:variant>
        <vt:i4>0</vt:i4>
      </vt:variant>
      <vt:variant>
        <vt:i4>5</vt:i4>
      </vt:variant>
      <vt:variant>
        <vt:lpwstr/>
      </vt:variant>
      <vt:variant>
        <vt:lpwstr>_Toc272220721</vt:lpwstr>
      </vt:variant>
      <vt:variant>
        <vt:i4>1048629</vt:i4>
      </vt:variant>
      <vt:variant>
        <vt:i4>62</vt:i4>
      </vt:variant>
      <vt:variant>
        <vt:i4>0</vt:i4>
      </vt:variant>
      <vt:variant>
        <vt:i4>5</vt:i4>
      </vt:variant>
      <vt:variant>
        <vt:lpwstr/>
      </vt:variant>
      <vt:variant>
        <vt:lpwstr>_Toc272220720</vt:lpwstr>
      </vt:variant>
      <vt:variant>
        <vt:i4>1245237</vt:i4>
      </vt:variant>
      <vt:variant>
        <vt:i4>56</vt:i4>
      </vt:variant>
      <vt:variant>
        <vt:i4>0</vt:i4>
      </vt:variant>
      <vt:variant>
        <vt:i4>5</vt:i4>
      </vt:variant>
      <vt:variant>
        <vt:lpwstr/>
      </vt:variant>
      <vt:variant>
        <vt:lpwstr>_Toc272220719</vt:lpwstr>
      </vt:variant>
      <vt:variant>
        <vt:i4>1245237</vt:i4>
      </vt:variant>
      <vt:variant>
        <vt:i4>50</vt:i4>
      </vt:variant>
      <vt:variant>
        <vt:i4>0</vt:i4>
      </vt:variant>
      <vt:variant>
        <vt:i4>5</vt:i4>
      </vt:variant>
      <vt:variant>
        <vt:lpwstr/>
      </vt:variant>
      <vt:variant>
        <vt:lpwstr>_Toc272220718</vt:lpwstr>
      </vt:variant>
      <vt:variant>
        <vt:i4>1245237</vt:i4>
      </vt:variant>
      <vt:variant>
        <vt:i4>44</vt:i4>
      </vt:variant>
      <vt:variant>
        <vt:i4>0</vt:i4>
      </vt:variant>
      <vt:variant>
        <vt:i4>5</vt:i4>
      </vt:variant>
      <vt:variant>
        <vt:lpwstr/>
      </vt:variant>
      <vt:variant>
        <vt:lpwstr>_Toc272220717</vt:lpwstr>
      </vt:variant>
      <vt:variant>
        <vt:i4>1245237</vt:i4>
      </vt:variant>
      <vt:variant>
        <vt:i4>38</vt:i4>
      </vt:variant>
      <vt:variant>
        <vt:i4>0</vt:i4>
      </vt:variant>
      <vt:variant>
        <vt:i4>5</vt:i4>
      </vt:variant>
      <vt:variant>
        <vt:lpwstr/>
      </vt:variant>
      <vt:variant>
        <vt:lpwstr>_Toc272220716</vt:lpwstr>
      </vt:variant>
      <vt:variant>
        <vt:i4>1245237</vt:i4>
      </vt:variant>
      <vt:variant>
        <vt:i4>32</vt:i4>
      </vt:variant>
      <vt:variant>
        <vt:i4>0</vt:i4>
      </vt:variant>
      <vt:variant>
        <vt:i4>5</vt:i4>
      </vt:variant>
      <vt:variant>
        <vt:lpwstr/>
      </vt:variant>
      <vt:variant>
        <vt:lpwstr>_Toc272220715</vt:lpwstr>
      </vt:variant>
      <vt:variant>
        <vt:i4>1245237</vt:i4>
      </vt:variant>
      <vt:variant>
        <vt:i4>26</vt:i4>
      </vt:variant>
      <vt:variant>
        <vt:i4>0</vt:i4>
      </vt:variant>
      <vt:variant>
        <vt:i4>5</vt:i4>
      </vt:variant>
      <vt:variant>
        <vt:lpwstr/>
      </vt:variant>
      <vt:variant>
        <vt:lpwstr>_Toc272220714</vt:lpwstr>
      </vt:variant>
      <vt:variant>
        <vt:i4>1245237</vt:i4>
      </vt:variant>
      <vt:variant>
        <vt:i4>20</vt:i4>
      </vt:variant>
      <vt:variant>
        <vt:i4>0</vt:i4>
      </vt:variant>
      <vt:variant>
        <vt:i4>5</vt:i4>
      </vt:variant>
      <vt:variant>
        <vt:lpwstr/>
      </vt:variant>
      <vt:variant>
        <vt:lpwstr>_Toc272220713</vt:lpwstr>
      </vt:variant>
      <vt:variant>
        <vt:i4>1245237</vt:i4>
      </vt:variant>
      <vt:variant>
        <vt:i4>14</vt:i4>
      </vt:variant>
      <vt:variant>
        <vt:i4>0</vt:i4>
      </vt:variant>
      <vt:variant>
        <vt:i4>5</vt:i4>
      </vt:variant>
      <vt:variant>
        <vt:lpwstr/>
      </vt:variant>
      <vt:variant>
        <vt:lpwstr>_Toc272220712</vt:lpwstr>
      </vt:variant>
      <vt:variant>
        <vt:i4>1245237</vt:i4>
      </vt:variant>
      <vt:variant>
        <vt:i4>8</vt:i4>
      </vt:variant>
      <vt:variant>
        <vt:i4>0</vt:i4>
      </vt:variant>
      <vt:variant>
        <vt:i4>5</vt:i4>
      </vt:variant>
      <vt:variant>
        <vt:lpwstr/>
      </vt:variant>
      <vt:variant>
        <vt:lpwstr>_Toc272220711</vt:lpwstr>
      </vt:variant>
      <vt:variant>
        <vt:i4>1245237</vt:i4>
      </vt:variant>
      <vt:variant>
        <vt:i4>2</vt:i4>
      </vt:variant>
      <vt:variant>
        <vt:i4>0</vt:i4>
      </vt:variant>
      <vt:variant>
        <vt:i4>5</vt:i4>
      </vt:variant>
      <vt:variant>
        <vt:lpwstr/>
      </vt:variant>
      <vt:variant>
        <vt:lpwstr>_Toc272220710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Takeovers Panel Annual Report 2023–24</dc:title>
  <dc:subject/>
  <dc:creator/>
  <cp:keywords/>
  <dc:description/>
  <cp:lastModifiedBy/>
  <cp:revision>1</cp:revision>
  <dcterms:created xsi:type="dcterms:W3CDTF">2024-10-21T01:10:00Z</dcterms:created>
  <dcterms:modified xsi:type="dcterms:W3CDTF">2024-10-21T01:11:00Z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2024-10-21T01:11:23Z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f66dc082-6107-4638-9dde-5799653d9c5d</vt:lpwstr>
  </property>
  <property fmtid="{D5CDD505-2E9C-101B-9397-08002B2CF9AE}" pid="8" name="MSIP_Label_4f932d64-9ab1-4d9b-81d2-a3a8b82dd47d_ContentBits">
    <vt:lpwstr>0</vt:lpwstr>
  </property>
</Properties>
</file>